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47" w:tblpY="-270"/>
        <w:tblW w:w="10629" w:type="dxa"/>
        <w:tblLayout w:type="fixed"/>
        <w:tblLook w:val="04A0" w:firstRow="1" w:lastRow="0" w:firstColumn="1" w:lastColumn="0" w:noHBand="0" w:noVBand="1"/>
      </w:tblPr>
      <w:tblGrid>
        <w:gridCol w:w="4111"/>
        <w:gridCol w:w="6518"/>
      </w:tblGrid>
      <w:tr w:rsidR="00FB6EA3" w14:paraId="465C086B" w14:textId="77777777" w:rsidTr="00AC0771">
        <w:trPr>
          <w:trHeight w:val="1247"/>
        </w:trPr>
        <w:tc>
          <w:tcPr>
            <w:tcW w:w="4111" w:type="dxa"/>
            <w:vAlign w:val="center"/>
          </w:tcPr>
          <w:p w14:paraId="2353FFEA" w14:textId="77777777" w:rsidR="00FB6EA3" w:rsidRPr="00D72AB2" w:rsidRDefault="00D56F91" w:rsidP="00D56F91">
            <w:pPr>
              <w:pStyle w:val="En-tte"/>
              <w:jc w:val="center"/>
              <w:rPr>
                <w:sz w:val="28"/>
                <w:szCs w:val="22"/>
              </w:rPr>
            </w:pPr>
            <w:r w:rsidRPr="009D03FD">
              <w:rPr>
                <w:noProof/>
                <w:szCs w:val="22"/>
                <w:lang w:bidi="ar-SA"/>
              </w:rPr>
              <w:drawing>
                <wp:inline distT="0" distB="0" distL="0" distR="0" wp14:anchorId="00FB3257" wp14:editId="3FC6F76A">
                  <wp:extent cx="1440000" cy="832826"/>
                  <wp:effectExtent l="0" t="0" r="8255" b="5715"/>
                  <wp:docPr id="1" name="Image 1" descr="Unafam Morbiha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afam Morbihan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13"/>
                          <a:stretch/>
                        </pic:blipFill>
                        <pic:spPr bwMode="auto">
                          <a:xfrm>
                            <a:off x="0" y="0"/>
                            <a:ext cx="1440000" cy="83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vAlign w:val="center"/>
          </w:tcPr>
          <w:p w14:paraId="688D6934" w14:textId="77777777" w:rsidR="00FB6EA3" w:rsidRPr="00003551" w:rsidRDefault="00FB6EA3" w:rsidP="00D56F91">
            <w:pPr>
              <w:pStyle w:val="En-tte"/>
              <w:jc w:val="center"/>
              <w:rPr>
                <w:b/>
                <w:color w:val="5B9BD5" w:themeColor="accent1"/>
                <w:sz w:val="36"/>
                <w:szCs w:val="36"/>
              </w:rPr>
            </w:pPr>
          </w:p>
          <w:p w14:paraId="1409EEBF" w14:textId="77777777" w:rsidR="00FB6EA3" w:rsidRDefault="00285BFD" w:rsidP="00285BFD">
            <w:pPr>
              <w:pStyle w:val="En-tte"/>
              <w:spacing w:before="240"/>
              <w:jc w:val="center"/>
              <w:rPr>
                <w:b/>
                <w:noProof/>
                <w:color w:val="5B9BD5" w:themeColor="accent1"/>
                <w:sz w:val="36"/>
                <w:szCs w:val="36"/>
                <w:lang w:bidi="ar-SA"/>
              </w:rPr>
            </w:pPr>
            <w:r>
              <w:rPr>
                <w:b/>
                <w:noProof/>
                <w:color w:val="5B9BD5" w:themeColor="accent1"/>
                <w:sz w:val="36"/>
                <w:szCs w:val="36"/>
                <w:lang w:bidi="ar-SA"/>
              </w:rPr>
              <w:t>MDPH</w:t>
            </w:r>
          </w:p>
          <w:p w14:paraId="5C18DCB8" w14:textId="77777777" w:rsidR="00285BFD" w:rsidRPr="00285BFD" w:rsidRDefault="00285BFD" w:rsidP="00285BFD">
            <w:pPr>
              <w:pStyle w:val="En-tte"/>
              <w:spacing w:before="240"/>
              <w:jc w:val="center"/>
              <w:rPr>
                <w:b/>
                <w:noProof/>
                <w:color w:val="5B9BD5" w:themeColor="accent1"/>
                <w:sz w:val="28"/>
                <w:szCs w:val="28"/>
                <w:lang w:bidi="ar-SA"/>
              </w:rPr>
            </w:pPr>
            <w:r w:rsidRPr="00285BFD">
              <w:rPr>
                <w:b/>
                <w:noProof/>
                <w:color w:val="5B9BD5" w:themeColor="accent1"/>
                <w:sz w:val="28"/>
                <w:szCs w:val="28"/>
                <w:lang w:bidi="ar-SA"/>
              </w:rPr>
              <w:t>Allongement de la durée d’</w:t>
            </w:r>
            <w:r>
              <w:rPr>
                <w:b/>
                <w:noProof/>
                <w:color w:val="5B9BD5" w:themeColor="accent1"/>
                <w:sz w:val="28"/>
                <w:szCs w:val="28"/>
                <w:lang w:bidi="ar-SA"/>
              </w:rPr>
              <w:t xml:space="preserve">attribution de </w:t>
            </w:r>
            <w:r w:rsidRPr="00285BFD">
              <w:rPr>
                <w:b/>
                <w:noProof/>
                <w:color w:val="5B9BD5" w:themeColor="accent1"/>
                <w:sz w:val="28"/>
                <w:szCs w:val="28"/>
                <w:lang w:bidi="ar-SA"/>
              </w:rPr>
              <w:t>prestations</w:t>
            </w:r>
          </w:p>
          <w:p w14:paraId="40D855B0" w14:textId="77777777" w:rsidR="00285BFD" w:rsidRPr="00003551" w:rsidRDefault="00285BFD" w:rsidP="00285BFD">
            <w:pPr>
              <w:pStyle w:val="En-tte"/>
              <w:spacing w:before="240"/>
              <w:rPr>
                <w:b/>
                <w:noProof/>
                <w:color w:val="5B9BD5" w:themeColor="accent1"/>
                <w:sz w:val="36"/>
                <w:szCs w:val="36"/>
                <w:lang w:bidi="ar-SA"/>
              </w:rPr>
            </w:pPr>
            <w:r w:rsidRPr="00285BFD">
              <w:rPr>
                <w:b/>
                <w:noProof/>
                <w:color w:val="5B9BD5" w:themeColor="accent1"/>
                <w:sz w:val="28"/>
                <w:szCs w:val="28"/>
                <w:lang w:bidi="ar-SA"/>
              </w:rPr>
              <w:t>Droits sans limitation de durée</w:t>
            </w:r>
          </w:p>
        </w:tc>
      </w:tr>
      <w:tr w:rsidR="00D56F91" w14:paraId="68E177CF" w14:textId="77777777" w:rsidTr="00AC0771">
        <w:trPr>
          <w:trHeight w:val="387"/>
        </w:trPr>
        <w:tc>
          <w:tcPr>
            <w:tcW w:w="4111" w:type="dxa"/>
            <w:vAlign w:val="center"/>
          </w:tcPr>
          <w:p w14:paraId="53BBD5A6" w14:textId="77777777" w:rsidR="00762413" w:rsidRPr="009D03FD" w:rsidRDefault="00762413" w:rsidP="00D56F91">
            <w:pPr>
              <w:pStyle w:val="En-tte"/>
              <w:spacing w:before="60"/>
              <w:jc w:val="center"/>
              <w:rPr>
                <w:noProof/>
                <w:szCs w:val="22"/>
                <w:lang w:bidi="ar-SA"/>
              </w:rPr>
            </w:pPr>
          </w:p>
        </w:tc>
        <w:tc>
          <w:tcPr>
            <w:tcW w:w="6518" w:type="dxa"/>
            <w:vAlign w:val="center"/>
          </w:tcPr>
          <w:p w14:paraId="680026E8" w14:textId="77777777" w:rsidR="00D56F91" w:rsidRDefault="00D56F91" w:rsidP="00D56F91">
            <w:pPr>
              <w:pStyle w:val="En-tte"/>
              <w:jc w:val="center"/>
              <w:rPr>
                <w:sz w:val="22"/>
                <w:szCs w:val="22"/>
              </w:rPr>
            </w:pPr>
          </w:p>
        </w:tc>
      </w:tr>
    </w:tbl>
    <w:p w14:paraId="2CBE1EC3" w14:textId="77777777" w:rsidR="00CE7C88" w:rsidRDefault="00CE7C88" w:rsidP="0076241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Des mesures adoptées</w:t>
      </w:r>
      <w:r w:rsidR="00285BFD">
        <w:rPr>
          <w:rFonts w:ascii="Arial Narrow" w:hAnsi="Arial Narrow" w:cs="Arial"/>
          <w:b/>
        </w:rPr>
        <w:t xml:space="preserve"> pour simplifier les démarches administratives auprès des MDPH </w:t>
      </w:r>
      <w:r>
        <w:rPr>
          <w:rFonts w:ascii="Arial Narrow" w:hAnsi="Arial Narrow" w:cs="Arial"/>
          <w:b/>
        </w:rPr>
        <w:t>ont modifié les durées d’attribution de certaines prestations délivrées par la CDAPH de la MDPH.</w:t>
      </w:r>
    </w:p>
    <w:p w14:paraId="14AEDB29" w14:textId="77777777" w:rsidR="00285BFD" w:rsidRDefault="00285BFD" w:rsidP="00762413">
      <w:pPr>
        <w:jc w:val="both"/>
        <w:rPr>
          <w:rFonts w:ascii="Arial Narrow" w:hAnsi="Arial Narrow" w:cs="Arial"/>
          <w:b/>
        </w:rPr>
      </w:pPr>
    </w:p>
    <w:p w14:paraId="131A6FD7" w14:textId="77777777" w:rsidR="00285BFD" w:rsidRDefault="00285BFD" w:rsidP="0076241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Quels sont les textes règlementaires</w:t>
      </w:r>
      <w:r w:rsidR="00CE7C88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 ?</w:t>
      </w:r>
    </w:p>
    <w:p w14:paraId="78414A91" w14:textId="77777777" w:rsidR="00285BFD" w:rsidRPr="00E35E32" w:rsidRDefault="00285BFD" w:rsidP="00E35E32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Décret n°2018-1222 du 24 décembre 2018 portant diverses mesures de simplification dans le champ du handicap</w:t>
      </w:r>
    </w:p>
    <w:p w14:paraId="7BD6971B" w14:textId="77777777" w:rsidR="00CE7C88" w:rsidRPr="00E35E32" w:rsidRDefault="00CE7C88" w:rsidP="00E35E32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Décret n°2018-1294 du 27 décembre 2018 relatif à l’allocation d’éducation de l’enfant handicapé</w:t>
      </w:r>
    </w:p>
    <w:p w14:paraId="726FDF84" w14:textId="77777777" w:rsidR="00285BFD" w:rsidRDefault="00285BFD" w:rsidP="00E35E32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Décret n°2019-1501 du 30 décembre 2019 relatif à l’attribution de droits sans limitation de durée</w:t>
      </w:r>
    </w:p>
    <w:p w14:paraId="0FBDFC77" w14:textId="3634454F" w:rsidR="0013098F" w:rsidRDefault="0013098F" w:rsidP="00E35E32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Loi n°2020-220 du 6 mars 2020 visant à améliorer l’accès à la PCH.</w:t>
      </w:r>
    </w:p>
    <w:p w14:paraId="2BC15C55" w14:textId="77777777" w:rsidR="00306969" w:rsidRPr="00306969" w:rsidRDefault="00306969" w:rsidP="00306969">
      <w:pPr>
        <w:pStyle w:val="Paragraphedeliste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06969">
        <w:rPr>
          <w:rFonts w:ascii="Arial Narrow" w:hAnsi="Arial Narrow" w:cs="Arial"/>
        </w:rPr>
        <w:t>Décret n° 2021-1394 du 27 octobre 2021 relatif à la durée d'attribution de la prestation de compensation du handicap</w:t>
      </w:r>
    </w:p>
    <w:p w14:paraId="48DEBCC5" w14:textId="77777777" w:rsidR="00285BFD" w:rsidRPr="00917209" w:rsidRDefault="00285BFD" w:rsidP="00762413">
      <w:pPr>
        <w:jc w:val="both"/>
        <w:rPr>
          <w:rFonts w:ascii="Arial Narrow" w:hAnsi="Arial Narrow" w:cs="Arial"/>
        </w:rPr>
      </w:pPr>
    </w:p>
    <w:p w14:paraId="23FCA81C" w14:textId="77777777" w:rsidR="00CE7C88" w:rsidRDefault="00CE7C88" w:rsidP="0076241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Que permettent-ils ?</w:t>
      </w:r>
    </w:p>
    <w:p w14:paraId="2ECA0C25" w14:textId="77777777" w:rsidR="00CE7C88" w:rsidRPr="00E35E32" w:rsidRDefault="00CE7C88" w:rsidP="00E35E32">
      <w:pPr>
        <w:pStyle w:val="Paragraphedeliste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D’accorder certaines prestations sur des durées plus longues</w:t>
      </w:r>
    </w:p>
    <w:p w14:paraId="1840B658" w14:textId="77777777" w:rsidR="00CE7C88" w:rsidRPr="00E35E32" w:rsidRDefault="00CE7C88" w:rsidP="00E35E32">
      <w:pPr>
        <w:pStyle w:val="Paragraphedeliste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D’attribuer certains droits san</w:t>
      </w:r>
      <w:r w:rsidR="00917209" w:rsidRPr="00E35E32">
        <w:rPr>
          <w:rFonts w:ascii="Arial Narrow" w:hAnsi="Arial Narrow" w:cs="Arial"/>
        </w:rPr>
        <w:t>s limitation de durée, à titre définitif</w:t>
      </w:r>
      <w:r w:rsidRPr="00E35E32">
        <w:rPr>
          <w:rFonts w:ascii="Arial Narrow" w:hAnsi="Arial Narrow" w:cs="Arial"/>
        </w:rPr>
        <w:t>.</w:t>
      </w:r>
    </w:p>
    <w:p w14:paraId="05A00BB7" w14:textId="77777777" w:rsidR="00917209" w:rsidRDefault="00917209" w:rsidP="00762413">
      <w:pPr>
        <w:jc w:val="both"/>
        <w:rPr>
          <w:rFonts w:ascii="Arial Narrow" w:hAnsi="Arial Narrow" w:cs="Arial"/>
        </w:rPr>
      </w:pPr>
    </w:p>
    <w:p w14:paraId="1723D408" w14:textId="407B859D" w:rsidR="00236CF3" w:rsidRPr="00472962" w:rsidRDefault="00236CF3" w:rsidP="00472962">
      <w:pPr>
        <w:pStyle w:val="Paragraphedeliste"/>
        <w:numPr>
          <w:ilvl w:val="0"/>
          <w:numId w:val="13"/>
        </w:numPr>
        <w:jc w:val="both"/>
        <w:rPr>
          <w:rFonts w:ascii="Arial Narrow" w:hAnsi="Arial Narrow" w:cs="Arial"/>
          <w:b/>
          <w:u w:val="single"/>
        </w:rPr>
      </w:pPr>
      <w:r w:rsidRPr="00472962">
        <w:rPr>
          <w:rFonts w:ascii="Arial Narrow" w:hAnsi="Arial Narrow" w:cs="Arial"/>
          <w:b/>
          <w:u w:val="single"/>
        </w:rPr>
        <w:t>L’attribution de droits sans limitation de durée (DSLD)</w:t>
      </w:r>
    </w:p>
    <w:p w14:paraId="2B4CE860" w14:textId="77777777" w:rsidR="00472962" w:rsidRPr="00472962" w:rsidRDefault="00472962" w:rsidP="00472962">
      <w:pPr>
        <w:pStyle w:val="Paragraphedeliste"/>
        <w:jc w:val="both"/>
        <w:rPr>
          <w:rFonts w:ascii="Arial Narrow" w:hAnsi="Arial Narrow" w:cs="Arial"/>
          <w:b/>
          <w:u w:val="single"/>
        </w:rPr>
      </w:pPr>
    </w:p>
    <w:p w14:paraId="67EE125E" w14:textId="77777777" w:rsidR="00917209" w:rsidRDefault="00917209" w:rsidP="0076241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Quelles sont les prestations concernées par l’attribution sans limitation de durée?</w:t>
      </w:r>
    </w:p>
    <w:p w14:paraId="33438467" w14:textId="77777777" w:rsidR="00917209" w:rsidRPr="00E35E32" w:rsidRDefault="00917209" w:rsidP="00E35E32">
      <w:pPr>
        <w:pStyle w:val="Paragraphedeliste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L’allocation aux adultes handicapés (AAH)</w:t>
      </w:r>
    </w:p>
    <w:p w14:paraId="403B3E9B" w14:textId="77777777" w:rsidR="00917209" w:rsidRPr="00E35E32" w:rsidRDefault="00917209" w:rsidP="00E35E32">
      <w:pPr>
        <w:pStyle w:val="Paragraphedeliste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La carte mobilité inclusion (CMI) invalidité</w:t>
      </w:r>
    </w:p>
    <w:p w14:paraId="3BDD9C52" w14:textId="77777777" w:rsidR="00917209" w:rsidRPr="00E35E32" w:rsidRDefault="00917209" w:rsidP="00E35E32">
      <w:pPr>
        <w:pStyle w:val="Paragraphedeliste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L’allocation compensatrice pour tierce personne (ACTP) au taux de sujétion de 80%</w:t>
      </w:r>
    </w:p>
    <w:p w14:paraId="3FC2D1BA" w14:textId="77777777" w:rsidR="00917209" w:rsidRPr="00E35E32" w:rsidRDefault="00917209" w:rsidP="00E35E32">
      <w:pPr>
        <w:pStyle w:val="Paragraphedeliste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L’allocation d’éducation de l’enfant handicapé (AEEH) de base</w:t>
      </w:r>
    </w:p>
    <w:p w14:paraId="2FF4A18A" w14:textId="77777777" w:rsidR="00917209" w:rsidRPr="00E35E32" w:rsidRDefault="00917209" w:rsidP="00E35E32">
      <w:pPr>
        <w:pStyle w:val="Paragraphedeliste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La reconnaissance de qualité de travailleur handicapé (RQTH)</w:t>
      </w:r>
    </w:p>
    <w:p w14:paraId="56E60439" w14:textId="77777777" w:rsidR="00E35E32" w:rsidRPr="00E35E32" w:rsidRDefault="00E35E32" w:rsidP="00E35E32">
      <w:pPr>
        <w:pStyle w:val="Paragraphedeliste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La carte mobilité inclusion (CMI) priorité</w:t>
      </w:r>
    </w:p>
    <w:p w14:paraId="513CD76C" w14:textId="77777777" w:rsidR="00E35E32" w:rsidRDefault="00E35E32" w:rsidP="00E35E32">
      <w:pPr>
        <w:pStyle w:val="Paragraphedeliste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E35E32">
        <w:rPr>
          <w:rFonts w:ascii="Arial Narrow" w:hAnsi="Arial Narrow" w:cs="Arial"/>
        </w:rPr>
        <w:t>La carte mobilité inclusion (CMI) stationnement</w:t>
      </w:r>
    </w:p>
    <w:p w14:paraId="36126B80" w14:textId="19D3DD0F" w:rsidR="0013098F" w:rsidRPr="00E35E32" w:rsidRDefault="0013098F" w:rsidP="00E35E32">
      <w:pPr>
        <w:pStyle w:val="Paragraphedeliste"/>
        <w:numPr>
          <w:ilvl w:val="0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PCH</w:t>
      </w:r>
    </w:p>
    <w:p w14:paraId="26212679" w14:textId="77777777" w:rsidR="00E35E32" w:rsidRPr="00917209" w:rsidRDefault="00E35E32" w:rsidP="00762413">
      <w:pPr>
        <w:jc w:val="both"/>
        <w:rPr>
          <w:rFonts w:ascii="Arial Narrow" w:hAnsi="Arial Narrow" w:cs="Arial"/>
        </w:rPr>
      </w:pPr>
    </w:p>
    <w:p w14:paraId="60CDBA6F" w14:textId="25993050" w:rsidR="00917209" w:rsidRPr="00B04D09" w:rsidRDefault="00B04D09" w:rsidP="00762413">
      <w:pPr>
        <w:jc w:val="both"/>
        <w:rPr>
          <w:rFonts w:ascii="Arial Narrow" w:hAnsi="Arial Narrow" w:cs="Arial"/>
          <w:b/>
        </w:rPr>
      </w:pPr>
      <w:r w:rsidRPr="00B04D09">
        <w:rPr>
          <w:rFonts w:ascii="Arial Narrow" w:hAnsi="Arial Narrow" w:cs="Arial"/>
          <w:b/>
        </w:rPr>
        <w:t>Quelles sont les conditions d’attribution des droits sans limitation de durée ?</w:t>
      </w:r>
    </w:p>
    <w:p w14:paraId="2AC12863" w14:textId="38C09786" w:rsidR="004300ED" w:rsidRPr="00D005AC" w:rsidRDefault="00B04D09" w:rsidP="00D005AC">
      <w:pPr>
        <w:pStyle w:val="Paragraphedeliste"/>
        <w:numPr>
          <w:ilvl w:val="0"/>
          <w:numId w:val="9"/>
        </w:numPr>
        <w:jc w:val="both"/>
        <w:rPr>
          <w:rFonts w:ascii="Arial Narrow" w:hAnsi="Arial Narrow" w:cs="Arial"/>
          <w:b/>
        </w:rPr>
      </w:pPr>
      <w:r w:rsidRPr="00D005AC">
        <w:rPr>
          <w:rFonts w:ascii="Arial Narrow" w:hAnsi="Arial Narrow" w:cs="Arial"/>
          <w:b/>
        </w:rPr>
        <w:t>D</w:t>
      </w:r>
      <w:r w:rsidR="00D2360D" w:rsidRPr="00D005AC">
        <w:rPr>
          <w:rFonts w:ascii="Arial Narrow" w:hAnsi="Arial Narrow" w:cs="Arial"/>
          <w:b/>
        </w:rPr>
        <w:t>eux c</w:t>
      </w:r>
      <w:r w:rsidRPr="00D005AC">
        <w:rPr>
          <w:rFonts w:ascii="Arial Narrow" w:hAnsi="Arial Narrow" w:cs="Arial"/>
          <w:b/>
        </w:rPr>
        <w:t xml:space="preserve">onditions pour  l’AAH,  la CMI invalidité, </w:t>
      </w:r>
      <w:r w:rsidR="00D2360D" w:rsidRPr="00D005AC">
        <w:rPr>
          <w:rFonts w:ascii="Arial Narrow" w:hAnsi="Arial Narrow" w:cs="Arial"/>
          <w:b/>
        </w:rPr>
        <w:t xml:space="preserve"> l’ACTP 80 :</w:t>
      </w:r>
    </w:p>
    <w:p w14:paraId="35076D55" w14:textId="5811517A" w:rsidR="00D2360D" w:rsidRPr="00D2360D" w:rsidRDefault="00D2360D" w:rsidP="00D2360D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D2360D">
        <w:rPr>
          <w:rFonts w:ascii="Arial Narrow" w:hAnsi="Arial Narrow" w:cs="Arial"/>
        </w:rPr>
        <w:t xml:space="preserve">Avoir un taux </w:t>
      </w:r>
      <w:r w:rsidR="00B04D09">
        <w:rPr>
          <w:rFonts w:ascii="Arial Narrow" w:hAnsi="Arial Narrow" w:cs="Arial"/>
        </w:rPr>
        <w:t xml:space="preserve"> d’incapacité </w:t>
      </w:r>
      <w:r w:rsidR="00D005AC">
        <w:rPr>
          <w:rFonts w:ascii="Arial Narrow" w:hAnsi="Arial Narrow" w:cs="Arial"/>
        </w:rPr>
        <w:t xml:space="preserve">(TI) </w:t>
      </w:r>
      <w:r w:rsidRPr="00D2360D">
        <w:rPr>
          <w:rFonts w:ascii="Arial Narrow" w:hAnsi="Arial Narrow" w:cs="Arial"/>
        </w:rPr>
        <w:t>de 80%</w:t>
      </w:r>
    </w:p>
    <w:p w14:paraId="3EE15305" w14:textId="7A36FEE4" w:rsidR="00E35E32" w:rsidRDefault="00D2360D" w:rsidP="00D2360D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</w:rPr>
      </w:pPr>
      <w:r w:rsidRPr="00D2360D">
        <w:rPr>
          <w:rFonts w:ascii="Arial Narrow" w:hAnsi="Arial Narrow" w:cs="Arial"/>
        </w:rPr>
        <w:t xml:space="preserve">Avoir des limitations d’activités ou des </w:t>
      </w:r>
      <w:r w:rsidR="004300ED" w:rsidRPr="00D2360D">
        <w:rPr>
          <w:rFonts w:ascii="Arial Narrow" w:hAnsi="Arial Narrow" w:cs="Arial"/>
        </w:rPr>
        <w:t xml:space="preserve">restrictions de participation non susceptibles d’évolution favorable, compte tenu des données de la science, </w:t>
      </w:r>
      <w:r w:rsidRPr="00D2360D">
        <w:rPr>
          <w:rFonts w:ascii="Arial Narrow" w:hAnsi="Arial Narrow" w:cs="Arial"/>
        </w:rPr>
        <w:t>occasionnant une atteinte définitive de l’autonomie individuelle des personnes qui ont besoin d’’une aide</w:t>
      </w:r>
      <w:r w:rsidR="004300ED" w:rsidRPr="00D2360D">
        <w:rPr>
          <w:rFonts w:ascii="Arial Narrow" w:hAnsi="Arial Narrow" w:cs="Arial"/>
        </w:rPr>
        <w:t xml:space="preserve"> totale ou partielle, d’une stimulation</w:t>
      </w:r>
      <w:r w:rsidRPr="00D2360D">
        <w:rPr>
          <w:rFonts w:ascii="Arial Narrow" w:hAnsi="Arial Narrow" w:cs="Arial"/>
        </w:rPr>
        <w:t>, d’un accompagnement pour l’accomplissement des actes de la vie quotidienne ou q</w:t>
      </w:r>
      <w:r>
        <w:rPr>
          <w:rFonts w:ascii="Arial Narrow" w:hAnsi="Arial Narrow" w:cs="Arial"/>
        </w:rPr>
        <w:t>ui nécessitent une surveillance.</w:t>
      </w:r>
    </w:p>
    <w:p w14:paraId="6C32F6E7" w14:textId="77777777" w:rsidR="00D2360D" w:rsidRDefault="00D2360D" w:rsidP="00D2360D">
      <w:pPr>
        <w:pStyle w:val="Paragraphedeliste"/>
        <w:jc w:val="both"/>
        <w:rPr>
          <w:rFonts w:ascii="Arial Narrow" w:hAnsi="Arial Narrow" w:cs="Arial"/>
        </w:rPr>
      </w:pPr>
    </w:p>
    <w:p w14:paraId="023186BE" w14:textId="42647E16" w:rsidR="00D2360D" w:rsidRPr="00D005AC" w:rsidRDefault="00D2360D" w:rsidP="00D005AC">
      <w:pPr>
        <w:pStyle w:val="Paragraphedeliste"/>
        <w:numPr>
          <w:ilvl w:val="0"/>
          <w:numId w:val="9"/>
        </w:numPr>
        <w:jc w:val="both"/>
        <w:rPr>
          <w:rFonts w:ascii="Arial Narrow" w:hAnsi="Arial Narrow" w:cs="Arial"/>
          <w:b/>
        </w:rPr>
      </w:pPr>
      <w:r w:rsidRPr="00D005AC">
        <w:rPr>
          <w:rFonts w:ascii="Arial Narrow" w:hAnsi="Arial Narrow" w:cs="Arial"/>
          <w:b/>
        </w:rPr>
        <w:t>Conditions</w:t>
      </w:r>
      <w:r w:rsidR="00B04D09" w:rsidRPr="00D005AC">
        <w:rPr>
          <w:rFonts w:ascii="Arial Narrow" w:hAnsi="Arial Narrow" w:cs="Arial"/>
          <w:b/>
        </w:rPr>
        <w:t xml:space="preserve"> d’attribution pour les</w:t>
      </w:r>
      <w:r w:rsidRPr="00D005AC">
        <w:rPr>
          <w:rFonts w:ascii="Arial Narrow" w:hAnsi="Arial Narrow" w:cs="Arial"/>
          <w:b/>
        </w:rPr>
        <w:t xml:space="preserve"> droits ne re</w:t>
      </w:r>
      <w:r w:rsidR="00D005AC">
        <w:rPr>
          <w:rFonts w:ascii="Arial Narrow" w:hAnsi="Arial Narrow" w:cs="Arial"/>
          <w:b/>
        </w:rPr>
        <w:t>quérant pas un taux d’incapacité</w:t>
      </w:r>
      <w:r w:rsidRPr="00D005AC">
        <w:rPr>
          <w:rFonts w:ascii="Arial Narrow" w:hAnsi="Arial Narrow" w:cs="Arial"/>
          <w:b/>
        </w:rPr>
        <w:t xml:space="preserve"> </w:t>
      </w:r>
      <w:r w:rsidR="00B04D09" w:rsidRPr="00D005AC">
        <w:rPr>
          <w:rFonts w:ascii="Arial Narrow" w:hAnsi="Arial Narrow" w:cs="Arial"/>
          <w:b/>
        </w:rPr>
        <w:t xml:space="preserve">de 80% : </w:t>
      </w:r>
    </w:p>
    <w:p w14:paraId="4C7D221D" w14:textId="2D2C3BA6" w:rsidR="00D2360D" w:rsidRPr="00B04D09" w:rsidRDefault="00D2360D" w:rsidP="00B04D09">
      <w:pPr>
        <w:pStyle w:val="Paragraphedeliste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B04D09">
        <w:rPr>
          <w:rFonts w:ascii="Arial Narrow" w:hAnsi="Arial Narrow" w:cs="Arial"/>
          <w:b/>
        </w:rPr>
        <w:t>RQTH</w:t>
      </w:r>
      <w:r w:rsidRPr="00B04D09">
        <w:rPr>
          <w:rFonts w:ascii="Arial Narrow" w:hAnsi="Arial Narrow" w:cs="Arial"/>
        </w:rPr>
        <w:t xml:space="preserve"> : </w:t>
      </w:r>
      <w:r w:rsidR="00B04D09" w:rsidRPr="00B04D09">
        <w:rPr>
          <w:rFonts w:ascii="Arial Narrow" w:hAnsi="Arial Narrow" w:cs="Arial"/>
        </w:rPr>
        <w:t>avoir une altération définitive d’une ou plusieurs fonctions physiques, sensorielles, mentales, cognitives ou psychiques réduisant les possibilités d’obtenir ou conserver un emploi.</w:t>
      </w:r>
    </w:p>
    <w:p w14:paraId="2EF94DD9" w14:textId="095F3BDF" w:rsidR="00B04D09" w:rsidRDefault="00B04D09" w:rsidP="00B04D09">
      <w:pPr>
        <w:pStyle w:val="Paragraphedeliste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B04D09">
        <w:rPr>
          <w:rFonts w:ascii="Arial Narrow" w:hAnsi="Arial Narrow" w:cs="Arial"/>
          <w:b/>
        </w:rPr>
        <w:t>CMI priorité et CMI stationneme</w:t>
      </w:r>
      <w:r w:rsidRPr="00B04D09">
        <w:rPr>
          <w:rFonts w:ascii="Arial Narrow" w:hAnsi="Arial Narrow" w:cs="Arial"/>
        </w:rPr>
        <w:t>nt : selon l’évolutivité de la situation de handicap.</w:t>
      </w:r>
    </w:p>
    <w:p w14:paraId="6FD43E9F" w14:textId="35C0949B" w:rsidR="0013098F" w:rsidRDefault="0013098F" w:rsidP="00B04D09">
      <w:pPr>
        <w:pStyle w:val="Paragraphedeliste"/>
        <w:numPr>
          <w:ilvl w:val="0"/>
          <w:numId w:val="8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PCH </w:t>
      </w:r>
      <w:r w:rsidRPr="0013098F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lorsque le handicap n’est pas susceptible d’évoluer favorablement.</w:t>
      </w:r>
    </w:p>
    <w:p w14:paraId="15854BFB" w14:textId="77777777" w:rsidR="0013098F" w:rsidRDefault="0013098F" w:rsidP="00306969">
      <w:pPr>
        <w:pStyle w:val="Paragraphedeliste"/>
        <w:jc w:val="both"/>
        <w:rPr>
          <w:rFonts w:ascii="Arial Narrow" w:hAnsi="Arial Narrow" w:cs="Arial"/>
        </w:rPr>
      </w:pPr>
    </w:p>
    <w:p w14:paraId="01CA673A" w14:textId="77777777" w:rsidR="00B04D09" w:rsidRDefault="00B04D09" w:rsidP="00B04D09">
      <w:pPr>
        <w:jc w:val="both"/>
        <w:rPr>
          <w:rFonts w:ascii="Arial Narrow" w:hAnsi="Arial Narrow" w:cs="Arial"/>
        </w:rPr>
      </w:pPr>
    </w:p>
    <w:p w14:paraId="559EECAC" w14:textId="242F5CC7" w:rsidR="00B04D09" w:rsidRDefault="00B04D09" w:rsidP="00D005AC">
      <w:pPr>
        <w:pStyle w:val="Paragraphedeliste"/>
        <w:numPr>
          <w:ilvl w:val="0"/>
          <w:numId w:val="9"/>
        </w:numPr>
        <w:jc w:val="both"/>
        <w:rPr>
          <w:rFonts w:ascii="Arial Narrow" w:hAnsi="Arial Narrow" w:cs="Arial"/>
          <w:b/>
        </w:rPr>
      </w:pPr>
      <w:r w:rsidRPr="00D005AC">
        <w:rPr>
          <w:rFonts w:ascii="Arial Narrow" w:hAnsi="Arial Narrow" w:cs="Arial"/>
          <w:b/>
        </w:rPr>
        <w:t>Conditions d’attribution de l’AEEH de base sans limitation de durée :</w:t>
      </w:r>
    </w:p>
    <w:p w14:paraId="5FE6614B" w14:textId="2039E0C1" w:rsidR="00B04D09" w:rsidRDefault="00D005AC" w:rsidP="00D005AC">
      <w:pPr>
        <w:pStyle w:val="Paragraphedeliste"/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D005AC">
        <w:rPr>
          <w:rFonts w:ascii="Arial Narrow" w:hAnsi="Arial Narrow" w:cs="Arial"/>
        </w:rPr>
        <w:t>Avoir un TI de 80%</w:t>
      </w:r>
    </w:p>
    <w:p w14:paraId="320EDF0F" w14:textId="329DA55C" w:rsidR="00D005AC" w:rsidRPr="00D005AC" w:rsidRDefault="00D005AC" w:rsidP="00D005AC">
      <w:pPr>
        <w:pStyle w:val="Paragraphedeliste"/>
        <w:numPr>
          <w:ilvl w:val="0"/>
          <w:numId w:val="10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Pas de perspective d’amélioration de l’état de santé de l’enfant</w:t>
      </w:r>
    </w:p>
    <w:p w14:paraId="3C888EFE" w14:textId="77777777" w:rsidR="00B04D09" w:rsidRPr="00B04D09" w:rsidRDefault="00B04D09" w:rsidP="00B04D09">
      <w:pPr>
        <w:jc w:val="both"/>
        <w:rPr>
          <w:rFonts w:ascii="Arial Narrow" w:hAnsi="Arial Narrow" w:cs="Arial"/>
        </w:rPr>
      </w:pPr>
    </w:p>
    <w:p w14:paraId="653AAB9A" w14:textId="77777777" w:rsidR="00E35E32" w:rsidRDefault="00E35E32" w:rsidP="00762413">
      <w:pPr>
        <w:jc w:val="both"/>
        <w:rPr>
          <w:rFonts w:ascii="Arial Narrow" w:hAnsi="Arial Narrow" w:cs="Arial"/>
          <w:b/>
        </w:rPr>
      </w:pPr>
    </w:p>
    <w:p w14:paraId="2E8F05E9" w14:textId="6FBE18E9" w:rsidR="00027DB7" w:rsidRDefault="00027DB7" w:rsidP="0076241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Quand solliciter l’attribution de droits sans limitation de durée ?</w:t>
      </w:r>
    </w:p>
    <w:p w14:paraId="6ACE9A14" w14:textId="2331A427" w:rsidR="00027DB7" w:rsidRPr="00027DB7" w:rsidRDefault="00027DB7" w:rsidP="00762413">
      <w:pPr>
        <w:jc w:val="both"/>
        <w:rPr>
          <w:rFonts w:ascii="Arial Narrow" w:hAnsi="Arial Narrow" w:cs="Arial"/>
        </w:rPr>
      </w:pPr>
      <w:r w:rsidRPr="00027DB7">
        <w:rPr>
          <w:rFonts w:ascii="Arial Narrow" w:hAnsi="Arial Narrow" w:cs="Arial"/>
        </w:rPr>
        <w:t>Au renouvellement de la demande de prestation</w:t>
      </w:r>
    </w:p>
    <w:p w14:paraId="03892CFC" w14:textId="3D06F443" w:rsidR="00027DB7" w:rsidRDefault="00027DB7" w:rsidP="00762413">
      <w:pPr>
        <w:jc w:val="both"/>
        <w:rPr>
          <w:rFonts w:ascii="Arial Narrow" w:hAnsi="Arial Narrow" w:cs="Arial"/>
        </w:rPr>
      </w:pPr>
    </w:p>
    <w:p w14:paraId="752C49D0" w14:textId="77777777" w:rsidR="00D005AC" w:rsidRDefault="00D005AC" w:rsidP="00762413">
      <w:pPr>
        <w:jc w:val="both"/>
        <w:rPr>
          <w:rFonts w:ascii="Arial Narrow" w:hAnsi="Arial Narrow" w:cs="Arial"/>
        </w:rPr>
      </w:pPr>
    </w:p>
    <w:p w14:paraId="5804726B" w14:textId="21EB190E" w:rsidR="00D005AC" w:rsidRPr="00D005AC" w:rsidRDefault="00D005AC" w:rsidP="00762413">
      <w:pPr>
        <w:jc w:val="both"/>
        <w:rPr>
          <w:rFonts w:ascii="Arial Narrow" w:hAnsi="Arial Narrow" w:cs="Arial"/>
          <w:b/>
        </w:rPr>
      </w:pPr>
      <w:r w:rsidRPr="00D005AC">
        <w:rPr>
          <w:rFonts w:ascii="Arial Narrow" w:hAnsi="Arial Narrow" w:cs="Arial"/>
          <w:b/>
        </w:rPr>
        <w:t>Quelles situations connues de la</w:t>
      </w:r>
      <w:r w:rsidR="00236CF3">
        <w:rPr>
          <w:rFonts w:ascii="Arial Narrow" w:hAnsi="Arial Narrow" w:cs="Arial"/>
          <w:b/>
        </w:rPr>
        <w:t xml:space="preserve"> MDPH peuvent d’emblée remplir les conditions d’attribution</w:t>
      </w:r>
      <w:r w:rsidRPr="00D005AC">
        <w:rPr>
          <w:rFonts w:ascii="Arial Narrow" w:hAnsi="Arial Narrow" w:cs="Arial"/>
          <w:b/>
        </w:rPr>
        <w:t xml:space="preserve"> de droits </w:t>
      </w:r>
      <w:r>
        <w:rPr>
          <w:rFonts w:ascii="Arial Narrow" w:hAnsi="Arial Narrow" w:cs="Arial"/>
          <w:b/>
        </w:rPr>
        <w:t xml:space="preserve"> </w:t>
      </w:r>
      <w:r w:rsidRPr="00D005AC">
        <w:rPr>
          <w:rFonts w:ascii="Arial Narrow" w:hAnsi="Arial Narrow" w:cs="Arial"/>
          <w:b/>
        </w:rPr>
        <w:t>sans limitation de durée?</w:t>
      </w:r>
      <w:r>
        <w:rPr>
          <w:rStyle w:val="Appelnotedebasdep"/>
          <w:rFonts w:ascii="Arial Narrow" w:hAnsi="Arial Narrow" w:cs="Arial"/>
          <w:b/>
        </w:rPr>
        <w:footnoteReference w:id="1"/>
      </w:r>
    </w:p>
    <w:p w14:paraId="61282AB3" w14:textId="77777777" w:rsidR="00236CF3" w:rsidRPr="00236CF3" w:rsidRDefault="00236CF3" w:rsidP="00236CF3">
      <w:pPr>
        <w:jc w:val="both"/>
        <w:rPr>
          <w:rFonts w:ascii="Arial Narrow" w:hAnsi="Arial Narrow" w:cs="Arial"/>
        </w:rPr>
      </w:pPr>
    </w:p>
    <w:p w14:paraId="5CFAEF64" w14:textId="372EC4BE" w:rsidR="00236CF3" w:rsidRDefault="00236CF3" w:rsidP="00236CF3">
      <w:pPr>
        <w:pStyle w:val="Paragraphedeliste"/>
        <w:numPr>
          <w:ilvl w:val="0"/>
          <w:numId w:val="1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une Carte d’invalidité </w:t>
      </w:r>
      <w:r w:rsidRPr="00236CF3">
        <w:rPr>
          <w:rFonts w:ascii="Arial Narrow" w:hAnsi="Arial Narrow" w:cs="Arial"/>
          <w:b/>
        </w:rPr>
        <w:t>/ CMI-I a déjà été attribuée à titre définitif</w:t>
      </w:r>
      <w:r w:rsidRPr="00236CF3">
        <w:rPr>
          <w:rFonts w:ascii="Arial Narrow" w:hAnsi="Arial Narrow" w:cs="Arial"/>
        </w:rPr>
        <w:t xml:space="preserve"> </w:t>
      </w:r>
      <w:r w:rsidRPr="00236CF3">
        <w:t>→</w:t>
      </w:r>
      <w:r w:rsidRPr="00236CF3">
        <w:rPr>
          <w:rFonts w:ascii="Arial Narrow" w:hAnsi="Arial Narrow" w:cs="Arial"/>
        </w:rPr>
        <w:t xml:space="preserve"> l’AAH L. 821-1 et le cas échéant l’ACTP 80% pourront être attribuées sans limitation de durée. Dans ces situations, l’attribution de la CMI-Stationnement sans limitation de durée peut également se justifier</w:t>
      </w:r>
    </w:p>
    <w:p w14:paraId="3CCEDE46" w14:textId="77777777" w:rsidR="00236CF3" w:rsidRPr="00236CF3" w:rsidRDefault="00236CF3" w:rsidP="00236CF3">
      <w:pPr>
        <w:pStyle w:val="Paragraphedeliste"/>
        <w:jc w:val="both"/>
        <w:rPr>
          <w:rFonts w:ascii="Arial Narrow" w:hAnsi="Arial Narrow" w:cs="Arial"/>
        </w:rPr>
      </w:pPr>
    </w:p>
    <w:p w14:paraId="53BC265F" w14:textId="77777777" w:rsidR="00236CF3" w:rsidRDefault="00236CF3" w:rsidP="00236CF3">
      <w:pPr>
        <w:pStyle w:val="Paragraphedeliste"/>
        <w:numPr>
          <w:ilvl w:val="0"/>
          <w:numId w:val="1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des décisions nécessitant un Taux d’incapacité</w:t>
      </w:r>
      <w:r w:rsidRPr="00236CF3">
        <w:rPr>
          <w:rFonts w:ascii="Arial Narrow" w:hAnsi="Arial Narrow" w:cs="Arial"/>
          <w:b/>
        </w:rPr>
        <w:t xml:space="preserve"> sup</w:t>
      </w:r>
      <w:r>
        <w:rPr>
          <w:rFonts w:ascii="Arial Narrow" w:hAnsi="Arial Narrow" w:cs="Arial"/>
          <w:b/>
        </w:rPr>
        <w:t>érieur</w:t>
      </w:r>
      <w:r w:rsidRPr="00236CF3">
        <w:rPr>
          <w:rFonts w:ascii="Arial Narrow" w:hAnsi="Arial Narrow" w:cs="Arial"/>
          <w:b/>
        </w:rPr>
        <w:t xml:space="preserve"> à 80 % ont été prises sur une durée d’au moins 15 ans </w:t>
      </w:r>
      <w:r w:rsidRPr="00236CF3">
        <w:t>→</w:t>
      </w:r>
      <w:r w:rsidRPr="00236CF3">
        <w:rPr>
          <w:rFonts w:ascii="Arial Narrow" w:hAnsi="Arial Narrow" w:cs="Arial"/>
        </w:rPr>
        <w:t xml:space="preserve"> l’AAH L. 821-1, la CMI-I et le cas échéant de l’ACTP 80% pourront être attribuées sans limitation de durée </w:t>
      </w:r>
    </w:p>
    <w:p w14:paraId="7AF4573E" w14:textId="77777777" w:rsidR="00236CF3" w:rsidRPr="00236CF3" w:rsidRDefault="00236CF3" w:rsidP="00236CF3">
      <w:pPr>
        <w:jc w:val="both"/>
        <w:rPr>
          <w:rFonts w:ascii="Arial Narrow" w:hAnsi="Arial Narrow" w:cs="Arial"/>
          <w:b/>
        </w:rPr>
      </w:pPr>
    </w:p>
    <w:p w14:paraId="0D23FA03" w14:textId="21B6CDAA" w:rsidR="00236CF3" w:rsidRDefault="00236CF3" w:rsidP="00236CF3">
      <w:pPr>
        <w:pStyle w:val="Paragraphedeliste"/>
        <w:numPr>
          <w:ilvl w:val="0"/>
          <w:numId w:val="1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pour les p</w:t>
      </w:r>
      <w:r w:rsidRPr="00236CF3">
        <w:rPr>
          <w:rFonts w:ascii="Arial Narrow" w:hAnsi="Arial Narrow" w:cs="Arial"/>
          <w:b/>
        </w:rPr>
        <w:t>ersonnes accueillies en Foyer de vie, FAM ou MAS</w:t>
      </w:r>
      <w:r>
        <w:rPr>
          <w:rFonts w:ascii="Arial Narrow" w:hAnsi="Arial Narrow" w:cs="Arial"/>
          <w:b/>
        </w:rPr>
        <w:t xml:space="preserve"> qu’elle qu’en soit la modalité d’accueil (accueil de jour, accueil à temps plein) </w:t>
      </w:r>
      <w:r w:rsidRPr="00236CF3">
        <w:t>→</w:t>
      </w:r>
      <w:r w:rsidRPr="00236CF3">
        <w:rPr>
          <w:rFonts w:ascii="Arial Narrow" w:hAnsi="Arial Narrow" w:cs="Arial"/>
        </w:rPr>
        <w:t xml:space="preserve"> les droits AAH</w:t>
      </w:r>
      <w:r>
        <w:rPr>
          <w:rFonts w:ascii="Arial Narrow" w:hAnsi="Arial Narrow" w:cs="Arial"/>
        </w:rPr>
        <w:t xml:space="preserve"> 1 (TI 80%)</w:t>
      </w:r>
      <w:r w:rsidRPr="00236CF3">
        <w:rPr>
          <w:rFonts w:ascii="Arial Narrow" w:hAnsi="Arial Narrow" w:cs="Arial"/>
        </w:rPr>
        <w:t>, CMI-I</w:t>
      </w:r>
      <w:r>
        <w:rPr>
          <w:rFonts w:ascii="Arial Narrow" w:hAnsi="Arial Narrow" w:cs="Arial"/>
        </w:rPr>
        <w:t>nvalidité</w:t>
      </w:r>
      <w:r w:rsidRPr="00236CF3">
        <w:rPr>
          <w:rFonts w:ascii="Arial Narrow" w:hAnsi="Arial Narrow" w:cs="Arial"/>
        </w:rPr>
        <w:t xml:space="preserve"> et éventuellement l’ACTP 80% si la personne en bénéficiait pourront être attribués sans limitation de durée </w:t>
      </w:r>
    </w:p>
    <w:p w14:paraId="486A4F57" w14:textId="77777777" w:rsidR="00236CF3" w:rsidRPr="00236CF3" w:rsidRDefault="00236CF3" w:rsidP="00236CF3">
      <w:pPr>
        <w:jc w:val="both"/>
        <w:rPr>
          <w:rFonts w:ascii="Arial Narrow" w:hAnsi="Arial Narrow" w:cs="Arial"/>
          <w:b/>
        </w:rPr>
      </w:pPr>
    </w:p>
    <w:p w14:paraId="7CFCA5A1" w14:textId="77777777" w:rsidR="00236CF3" w:rsidRDefault="00236CF3" w:rsidP="00236CF3">
      <w:pPr>
        <w:pStyle w:val="Paragraphedeliste"/>
        <w:numPr>
          <w:ilvl w:val="0"/>
          <w:numId w:val="1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pour des  personnes bénéficiant d’une RQTH et d’une orientation professionnelle en milieu ordinaire de travail </w:t>
      </w:r>
      <w:r w:rsidRPr="00236CF3">
        <w:rPr>
          <w:rFonts w:ascii="Arial Narrow" w:hAnsi="Arial Narrow" w:cs="Arial"/>
          <w:b/>
        </w:rPr>
        <w:t xml:space="preserve">depuis au moins 15 ans </w:t>
      </w:r>
      <w:r w:rsidRPr="00236CF3">
        <w:sym w:font="Symbol" w:char="F0AE"/>
      </w:r>
      <w:r>
        <w:rPr>
          <w:rFonts w:ascii="Arial Narrow" w:hAnsi="Arial Narrow" w:cs="Arial"/>
        </w:rPr>
        <w:t xml:space="preserve"> la RQTH pourra être attribuée</w:t>
      </w:r>
      <w:r w:rsidRPr="00236CF3">
        <w:rPr>
          <w:rFonts w:ascii="Arial Narrow" w:hAnsi="Arial Narrow" w:cs="Arial"/>
        </w:rPr>
        <w:t xml:space="preserve"> sans limitation de durée</w:t>
      </w:r>
    </w:p>
    <w:p w14:paraId="2333BDAB" w14:textId="77777777" w:rsidR="00910900" w:rsidRPr="00910900" w:rsidRDefault="00910900" w:rsidP="00910900">
      <w:pPr>
        <w:jc w:val="both"/>
        <w:rPr>
          <w:rFonts w:ascii="Arial Narrow" w:hAnsi="Arial Narrow" w:cs="Arial"/>
        </w:rPr>
      </w:pPr>
    </w:p>
    <w:p w14:paraId="45B3F110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06049435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78B67012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09F652EF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49D85FFC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0CE71321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17D57E88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7463DAF4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35D3C1A5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17B8AC4A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22B64217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45123077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65DA2357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7C8A9FD6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6D22CFC6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6B89C2A8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1EFD9E3F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02AC8A11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303963FA" w14:textId="77777777" w:rsidR="00910900" w:rsidRDefault="00910900" w:rsidP="00910900">
      <w:pPr>
        <w:jc w:val="both"/>
        <w:rPr>
          <w:rFonts w:ascii="Arial Narrow" w:hAnsi="Arial Narrow" w:cs="Arial"/>
        </w:rPr>
      </w:pPr>
    </w:p>
    <w:p w14:paraId="2AEDCCA0" w14:textId="77777777" w:rsidR="00910900" w:rsidRPr="00910900" w:rsidRDefault="00910900" w:rsidP="00910900">
      <w:pPr>
        <w:jc w:val="both"/>
        <w:rPr>
          <w:rFonts w:ascii="Arial Narrow" w:hAnsi="Arial Narrow" w:cs="Arial"/>
        </w:rPr>
      </w:pPr>
    </w:p>
    <w:p w14:paraId="3F7E0F02" w14:textId="77777777" w:rsidR="00236CF3" w:rsidRDefault="00236CF3" w:rsidP="00236CF3">
      <w:pPr>
        <w:jc w:val="both"/>
        <w:rPr>
          <w:rFonts w:ascii="Arial Narrow" w:hAnsi="Arial Narrow" w:cs="Arial"/>
        </w:rPr>
      </w:pPr>
    </w:p>
    <w:p w14:paraId="134B7610" w14:textId="77A70310" w:rsidR="00472962" w:rsidRPr="00472962" w:rsidRDefault="00472962" w:rsidP="00236CF3">
      <w:pPr>
        <w:jc w:val="both"/>
        <w:rPr>
          <w:rFonts w:ascii="Arial Narrow" w:hAnsi="Arial Narrow" w:cs="Arial"/>
          <w:b/>
          <w:u w:val="single"/>
        </w:rPr>
      </w:pPr>
      <w:r w:rsidRPr="00472962">
        <w:rPr>
          <w:rFonts w:ascii="Arial Narrow" w:hAnsi="Arial Narrow" w:cs="Arial"/>
          <w:b/>
          <w:u w:val="single"/>
        </w:rPr>
        <w:t xml:space="preserve">2) Les durées </w:t>
      </w:r>
      <w:r w:rsidR="00910900">
        <w:rPr>
          <w:rFonts w:ascii="Arial Narrow" w:hAnsi="Arial Narrow" w:cs="Arial"/>
          <w:b/>
          <w:u w:val="single"/>
        </w:rPr>
        <w:t xml:space="preserve">minimales et </w:t>
      </w:r>
      <w:r w:rsidR="003C6EA1">
        <w:rPr>
          <w:rFonts w:ascii="Arial Narrow" w:hAnsi="Arial Narrow" w:cs="Arial"/>
          <w:b/>
          <w:u w:val="single"/>
        </w:rPr>
        <w:t xml:space="preserve">maximales </w:t>
      </w:r>
      <w:r w:rsidRPr="00472962">
        <w:rPr>
          <w:rFonts w:ascii="Arial Narrow" w:hAnsi="Arial Narrow" w:cs="Arial"/>
          <w:b/>
          <w:u w:val="single"/>
        </w:rPr>
        <w:t>d’attribution des droits en 202</w:t>
      </w:r>
      <w:r w:rsidR="00D06D41">
        <w:rPr>
          <w:rFonts w:ascii="Arial Narrow" w:hAnsi="Arial Narrow" w:cs="Arial"/>
          <w:b/>
          <w:u w:val="single"/>
        </w:rPr>
        <w:t>4</w:t>
      </w:r>
      <w:r w:rsidRPr="00472962">
        <w:rPr>
          <w:rFonts w:ascii="Arial Narrow" w:hAnsi="Arial Narrow" w:cs="Arial"/>
          <w:b/>
          <w:u w:val="single"/>
        </w:rPr>
        <w:t> :</w:t>
      </w:r>
    </w:p>
    <w:p w14:paraId="54FAF456" w14:textId="77777777" w:rsidR="00472962" w:rsidRDefault="00472962" w:rsidP="00236CF3">
      <w:pPr>
        <w:jc w:val="both"/>
        <w:rPr>
          <w:rFonts w:ascii="Arial Narrow" w:hAnsi="Arial Narrow" w:cs="Arial"/>
        </w:rPr>
      </w:pPr>
    </w:p>
    <w:p w14:paraId="4B7EFA7C" w14:textId="77777777" w:rsidR="00472962" w:rsidRPr="00910900" w:rsidRDefault="00472962" w:rsidP="00236CF3">
      <w:pPr>
        <w:jc w:val="both"/>
        <w:rPr>
          <w:rFonts w:ascii="Arial Narrow" w:hAnsi="Arial Narrow" w:cs="Arial"/>
          <w:b/>
        </w:rPr>
      </w:pPr>
      <w:r w:rsidRPr="00910900">
        <w:rPr>
          <w:rFonts w:ascii="Arial Narrow" w:hAnsi="Arial Narrow" w:cs="Arial"/>
          <w:b/>
        </w:rPr>
        <w:t>AAH :</w:t>
      </w:r>
    </w:p>
    <w:p w14:paraId="7F130F46" w14:textId="77777777" w:rsidR="00472962" w:rsidRDefault="00472962" w:rsidP="00472962">
      <w:pPr>
        <w:pStyle w:val="Paragraphedeliste"/>
        <w:numPr>
          <w:ilvl w:val="0"/>
          <w:numId w:val="14"/>
        </w:numPr>
        <w:jc w:val="both"/>
        <w:rPr>
          <w:rFonts w:ascii="Arial Narrow" w:hAnsi="Arial Narrow" w:cs="Arial"/>
        </w:rPr>
      </w:pPr>
      <w:r w:rsidRPr="00472962">
        <w:rPr>
          <w:rFonts w:ascii="Arial Narrow" w:hAnsi="Arial Narrow" w:cs="Arial"/>
        </w:rPr>
        <w:t>Avec un TI entre 50 et 79% : 2 ans ou jusqu’à 5 ans si la situation n’est pas susceptible d’évolution favorable</w:t>
      </w:r>
    </w:p>
    <w:p w14:paraId="395B3E56" w14:textId="4E3A3F8F" w:rsidR="00472962" w:rsidRDefault="00472962" w:rsidP="00472962">
      <w:pPr>
        <w:pStyle w:val="Paragraphedeliste"/>
        <w:numPr>
          <w:ilvl w:val="0"/>
          <w:numId w:val="1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TI </w:t>
      </w:r>
      <w:r w:rsidR="003C6EA1">
        <w:rPr>
          <w:rFonts w:ascii="Arial Narrow" w:hAnsi="Arial Narrow" w:cs="Arial"/>
        </w:rPr>
        <w:t xml:space="preserve">égal ou supérieur à </w:t>
      </w:r>
      <w:r>
        <w:rPr>
          <w:rFonts w:ascii="Arial Narrow" w:hAnsi="Arial Narrow" w:cs="Arial"/>
        </w:rPr>
        <w:t>80% : 10 ans ou sans limitation de durée si la situation n’est pas susceptible d’évolution favorable</w:t>
      </w:r>
    </w:p>
    <w:p w14:paraId="5722B267" w14:textId="77777777" w:rsidR="003C6EA1" w:rsidRDefault="003C6EA1" w:rsidP="003C6EA1">
      <w:pPr>
        <w:jc w:val="both"/>
        <w:rPr>
          <w:rFonts w:ascii="Arial Narrow" w:hAnsi="Arial Narrow" w:cs="Arial"/>
        </w:rPr>
      </w:pPr>
    </w:p>
    <w:p w14:paraId="4AED50FC" w14:textId="3AB60B23" w:rsidR="003C6EA1" w:rsidRPr="003C6EA1" w:rsidRDefault="003C6EA1" w:rsidP="003C6EA1">
      <w:p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  <w:b/>
        </w:rPr>
        <w:t>CPR</w:t>
      </w:r>
      <w:r>
        <w:rPr>
          <w:rFonts w:ascii="Arial Narrow" w:hAnsi="Arial Narrow" w:cs="Arial"/>
        </w:rPr>
        <w:t xml:space="preserve"> (complément de ressources) : </w:t>
      </w:r>
      <w:r w:rsidR="00910900">
        <w:rPr>
          <w:rFonts w:ascii="Arial Narrow" w:hAnsi="Arial Narrow" w:cs="Arial"/>
        </w:rPr>
        <w:t xml:space="preserve">1 au 30/11/29 </w:t>
      </w:r>
      <w:r>
        <w:rPr>
          <w:rFonts w:ascii="Arial Narrow" w:hAnsi="Arial Narrow" w:cs="Arial"/>
        </w:rPr>
        <w:t>renouvelable uniquement jusqu’au 30 novembre 20</w:t>
      </w:r>
      <w:r w:rsidR="007E2BE0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9.</w:t>
      </w:r>
    </w:p>
    <w:p w14:paraId="1B89E25C" w14:textId="77777777" w:rsidR="00472962" w:rsidRDefault="00472962" w:rsidP="00472962">
      <w:pPr>
        <w:jc w:val="both"/>
        <w:rPr>
          <w:rFonts w:ascii="Arial Narrow" w:hAnsi="Arial Narrow" w:cs="Arial"/>
        </w:rPr>
      </w:pPr>
    </w:p>
    <w:p w14:paraId="4198899B" w14:textId="56E94AE8" w:rsidR="00472962" w:rsidRPr="00910900" w:rsidRDefault="00472962" w:rsidP="00472962">
      <w:pPr>
        <w:jc w:val="both"/>
        <w:rPr>
          <w:rFonts w:ascii="Arial Narrow" w:hAnsi="Arial Narrow" w:cs="Arial"/>
          <w:b/>
        </w:rPr>
      </w:pPr>
      <w:r w:rsidRPr="00910900">
        <w:rPr>
          <w:rFonts w:ascii="Arial Narrow" w:hAnsi="Arial Narrow" w:cs="Arial"/>
          <w:b/>
        </w:rPr>
        <w:t xml:space="preserve">CMI Invalidité : </w:t>
      </w:r>
    </w:p>
    <w:p w14:paraId="3E22C4EB" w14:textId="5416D32B" w:rsidR="00472962" w:rsidRPr="00472962" w:rsidRDefault="00472962" w:rsidP="00472962">
      <w:pPr>
        <w:pStyle w:val="Paragraphedeliste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72962">
        <w:rPr>
          <w:rFonts w:ascii="Arial Narrow" w:hAnsi="Arial Narrow" w:cs="Arial"/>
        </w:rPr>
        <w:t>De 1 à 20 ans</w:t>
      </w:r>
    </w:p>
    <w:p w14:paraId="2DA2A814" w14:textId="0EDE0D25" w:rsidR="00472962" w:rsidRDefault="00472962" w:rsidP="00472962">
      <w:pPr>
        <w:pStyle w:val="Paragraphedeliste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72962">
        <w:rPr>
          <w:rFonts w:ascii="Arial Narrow" w:hAnsi="Arial Narrow" w:cs="Arial"/>
        </w:rPr>
        <w:t>Sans limitation de durée si la situation n’est pas susceptible d’évolution favorable</w:t>
      </w:r>
    </w:p>
    <w:p w14:paraId="2BD44417" w14:textId="77777777" w:rsidR="00472962" w:rsidRDefault="00472962" w:rsidP="00472962">
      <w:pPr>
        <w:jc w:val="both"/>
        <w:rPr>
          <w:rFonts w:ascii="Arial Narrow" w:hAnsi="Arial Narrow" w:cs="Arial"/>
        </w:rPr>
      </w:pPr>
    </w:p>
    <w:p w14:paraId="7FCFE5FF" w14:textId="77777777" w:rsidR="00910900" w:rsidRDefault="00472962" w:rsidP="00472962">
      <w:p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  <w:b/>
        </w:rPr>
        <w:t>Accompagnement par un établissement ou service médico-socia</w:t>
      </w:r>
      <w:r>
        <w:rPr>
          <w:rFonts w:ascii="Arial Narrow" w:hAnsi="Arial Narrow" w:cs="Arial"/>
        </w:rPr>
        <w:t xml:space="preserve">l : </w:t>
      </w:r>
    </w:p>
    <w:p w14:paraId="0A31EDAF" w14:textId="45F54D6D" w:rsidR="00472962" w:rsidRDefault="00910900" w:rsidP="0047296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 à 10 ans, </w:t>
      </w:r>
      <w:r w:rsidR="00472962">
        <w:rPr>
          <w:rFonts w:ascii="Arial Narrow" w:hAnsi="Arial Narrow" w:cs="Arial"/>
        </w:rPr>
        <w:t>durée maximale 10 ans</w:t>
      </w:r>
    </w:p>
    <w:p w14:paraId="13AE156F" w14:textId="77777777" w:rsidR="00472962" w:rsidRDefault="00472962" w:rsidP="00472962">
      <w:pPr>
        <w:jc w:val="both"/>
        <w:rPr>
          <w:rFonts w:ascii="Arial Narrow" w:hAnsi="Arial Narrow" w:cs="Arial"/>
        </w:rPr>
      </w:pPr>
    </w:p>
    <w:p w14:paraId="7680C709" w14:textId="24A16997" w:rsidR="00472962" w:rsidRPr="00910900" w:rsidRDefault="00472962" w:rsidP="00472962">
      <w:pPr>
        <w:jc w:val="both"/>
        <w:rPr>
          <w:rFonts w:ascii="Arial Narrow" w:hAnsi="Arial Narrow" w:cs="Arial"/>
          <w:b/>
        </w:rPr>
      </w:pPr>
      <w:r w:rsidRPr="00910900">
        <w:rPr>
          <w:rFonts w:ascii="Arial Narrow" w:hAnsi="Arial Narrow" w:cs="Arial"/>
          <w:b/>
        </w:rPr>
        <w:t>RQTH :</w:t>
      </w:r>
    </w:p>
    <w:p w14:paraId="5F5C8565" w14:textId="00B59C6C" w:rsidR="00472962" w:rsidRPr="00472962" w:rsidRDefault="00472962" w:rsidP="00472962">
      <w:pPr>
        <w:pStyle w:val="Paragraphedeliste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472962">
        <w:rPr>
          <w:rFonts w:ascii="Arial Narrow" w:hAnsi="Arial Narrow" w:cs="Arial"/>
        </w:rPr>
        <w:t>De 1 à 10 ans</w:t>
      </w:r>
    </w:p>
    <w:p w14:paraId="27F1C23E" w14:textId="4CF8BEA9" w:rsidR="00472962" w:rsidRDefault="00472962" w:rsidP="00472962">
      <w:pPr>
        <w:pStyle w:val="Paragraphedeliste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472962">
        <w:rPr>
          <w:rFonts w:ascii="Arial Narrow" w:hAnsi="Arial Narrow" w:cs="Arial"/>
        </w:rPr>
        <w:t>Sans limitation de durée si la situation n’est pas susceptible d’évolution favorable</w:t>
      </w:r>
    </w:p>
    <w:p w14:paraId="2E0C97D6" w14:textId="77777777" w:rsidR="003C6EA1" w:rsidRDefault="003C6EA1" w:rsidP="003C6EA1">
      <w:pPr>
        <w:jc w:val="both"/>
        <w:rPr>
          <w:rFonts w:ascii="Arial Narrow" w:hAnsi="Arial Narrow" w:cs="Arial"/>
        </w:rPr>
      </w:pPr>
    </w:p>
    <w:p w14:paraId="26F85F0E" w14:textId="47E84570" w:rsidR="003C6EA1" w:rsidRPr="00910900" w:rsidRDefault="003C6EA1" w:rsidP="003C6EA1">
      <w:pPr>
        <w:jc w:val="both"/>
        <w:rPr>
          <w:rFonts w:ascii="Arial Narrow" w:hAnsi="Arial Narrow" w:cs="Arial"/>
          <w:b/>
        </w:rPr>
      </w:pPr>
      <w:r w:rsidRPr="00910900">
        <w:rPr>
          <w:rFonts w:ascii="Arial Narrow" w:hAnsi="Arial Narrow" w:cs="Arial"/>
          <w:b/>
        </w:rPr>
        <w:t xml:space="preserve">AEEH de base : </w:t>
      </w:r>
    </w:p>
    <w:p w14:paraId="3A541CF9" w14:textId="7ABF31B5" w:rsidR="003C6EA1" w:rsidRPr="00910900" w:rsidRDefault="003C6EA1" w:rsidP="00910900">
      <w:pPr>
        <w:pStyle w:val="Paragraphedeliste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>Si TI entre 50 et 79% : de 2 à 5 ans</w:t>
      </w:r>
    </w:p>
    <w:p w14:paraId="4BD9B9F1" w14:textId="4F8172D5" w:rsidR="003C6EA1" w:rsidRPr="00910900" w:rsidRDefault="003C6EA1" w:rsidP="00910900">
      <w:pPr>
        <w:pStyle w:val="Paragraphedeliste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 xml:space="preserve">Si TI de 80% avec une perspective d’amélioration de l’état de santé de l’enfant : </w:t>
      </w:r>
      <w:r w:rsidR="00AE26E4">
        <w:rPr>
          <w:rFonts w:ascii="Arial Narrow" w:hAnsi="Arial Narrow" w:cs="Arial"/>
        </w:rPr>
        <w:t>entre</w:t>
      </w:r>
      <w:r w:rsidRPr="00910900">
        <w:rPr>
          <w:rFonts w:ascii="Arial Narrow" w:hAnsi="Arial Narrow" w:cs="Arial"/>
        </w:rPr>
        <w:t xml:space="preserve"> </w:t>
      </w:r>
      <w:r w:rsidR="00AE26E4">
        <w:rPr>
          <w:rFonts w:ascii="Arial Narrow" w:hAnsi="Arial Narrow" w:cs="Arial"/>
        </w:rPr>
        <w:t>3 ans et 5 ans.</w:t>
      </w:r>
    </w:p>
    <w:p w14:paraId="60CD844D" w14:textId="7839E7EB" w:rsidR="003C6EA1" w:rsidRPr="00910900" w:rsidRDefault="003C6EA1" w:rsidP="00910900">
      <w:pPr>
        <w:pStyle w:val="Paragraphedeliste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>Si TI de 80% et pas de perspective d’amélioration de l’état de santé : sans limitation de durée, jusqu’à l’âge limite du bénéfice des prestations familiales (20 ans en général) ou du basculement à l’AAH.</w:t>
      </w:r>
    </w:p>
    <w:p w14:paraId="356ED6F9" w14:textId="77777777" w:rsidR="003C6EA1" w:rsidRDefault="003C6EA1" w:rsidP="003C6EA1">
      <w:pPr>
        <w:jc w:val="both"/>
        <w:rPr>
          <w:rFonts w:ascii="Arial Narrow" w:hAnsi="Arial Narrow" w:cs="Arial"/>
        </w:rPr>
      </w:pPr>
    </w:p>
    <w:p w14:paraId="5AF0048A" w14:textId="68E259B6" w:rsidR="003C6EA1" w:rsidRPr="00910900" w:rsidRDefault="003C6EA1" w:rsidP="003C6EA1">
      <w:pPr>
        <w:jc w:val="both"/>
        <w:rPr>
          <w:rFonts w:ascii="Arial Narrow" w:hAnsi="Arial Narrow" w:cs="Arial"/>
          <w:b/>
        </w:rPr>
      </w:pPr>
      <w:r w:rsidRPr="00910900">
        <w:rPr>
          <w:rFonts w:ascii="Arial Narrow" w:hAnsi="Arial Narrow" w:cs="Arial"/>
          <w:b/>
        </w:rPr>
        <w:t>Compléments d’AEEH :</w:t>
      </w:r>
    </w:p>
    <w:p w14:paraId="09FCF5D8" w14:textId="5F73AB18" w:rsidR="003C6EA1" w:rsidRPr="00910900" w:rsidRDefault="003C6EA1" w:rsidP="00910900">
      <w:pPr>
        <w:pStyle w:val="Paragraphedeliste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>Si TI entre 50 et 79% : de 2 à 5 ans</w:t>
      </w:r>
    </w:p>
    <w:p w14:paraId="4E9887D6" w14:textId="2EDF3CF5" w:rsidR="003C6EA1" w:rsidRPr="00910900" w:rsidRDefault="003C6EA1" w:rsidP="00910900">
      <w:pPr>
        <w:pStyle w:val="Paragraphedeliste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 xml:space="preserve">Si  TI de 80% : </w:t>
      </w:r>
      <w:r w:rsidR="00AE26E4">
        <w:rPr>
          <w:rFonts w:ascii="Arial Narrow" w:hAnsi="Arial Narrow" w:cs="Arial"/>
        </w:rPr>
        <w:t>entre</w:t>
      </w:r>
      <w:r w:rsidR="00E23B08" w:rsidRPr="00910900">
        <w:rPr>
          <w:rFonts w:ascii="Arial Narrow" w:hAnsi="Arial Narrow" w:cs="Arial"/>
        </w:rPr>
        <w:t xml:space="preserve"> 3 </w:t>
      </w:r>
      <w:r w:rsidR="00AE26E4">
        <w:rPr>
          <w:rFonts w:ascii="Arial Narrow" w:hAnsi="Arial Narrow" w:cs="Arial"/>
        </w:rPr>
        <w:t>et</w:t>
      </w:r>
      <w:r w:rsidR="00E23B08" w:rsidRPr="00910900">
        <w:rPr>
          <w:rFonts w:ascii="Arial Narrow" w:hAnsi="Arial Narrow" w:cs="Arial"/>
        </w:rPr>
        <w:t xml:space="preserve"> </w:t>
      </w:r>
      <w:r w:rsidRPr="00910900">
        <w:rPr>
          <w:rFonts w:ascii="Arial Narrow" w:hAnsi="Arial Narrow" w:cs="Arial"/>
        </w:rPr>
        <w:t>5 ans</w:t>
      </w:r>
    </w:p>
    <w:p w14:paraId="4C06D003" w14:textId="66C74289" w:rsidR="00E23B08" w:rsidRDefault="00E23B08" w:rsidP="003C6EA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Pas d’attribution d’un complément de plus de 5 ans.</w:t>
      </w:r>
    </w:p>
    <w:p w14:paraId="1BEC0637" w14:textId="77777777" w:rsidR="00E23B08" w:rsidRDefault="00E23B08" w:rsidP="003C6EA1">
      <w:pPr>
        <w:jc w:val="both"/>
        <w:rPr>
          <w:rFonts w:ascii="Arial Narrow" w:hAnsi="Arial Narrow" w:cs="Arial"/>
        </w:rPr>
      </w:pPr>
    </w:p>
    <w:p w14:paraId="48B726F3" w14:textId="765B39E9" w:rsidR="00E23B08" w:rsidRPr="00910900" w:rsidRDefault="00E23B08" w:rsidP="003C6EA1">
      <w:pPr>
        <w:jc w:val="both"/>
        <w:rPr>
          <w:rFonts w:ascii="Arial Narrow" w:hAnsi="Arial Narrow" w:cs="Arial"/>
          <w:b/>
        </w:rPr>
      </w:pPr>
      <w:r w:rsidRPr="00910900">
        <w:rPr>
          <w:rFonts w:ascii="Arial Narrow" w:hAnsi="Arial Narrow" w:cs="Arial"/>
          <w:b/>
        </w:rPr>
        <w:t>ACTP :</w:t>
      </w:r>
    </w:p>
    <w:p w14:paraId="24C9A372" w14:textId="6EA81853" w:rsidR="00E23B08" w:rsidRPr="00910900" w:rsidRDefault="00910900" w:rsidP="00910900">
      <w:pPr>
        <w:pStyle w:val="Paragraphedeliste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 xml:space="preserve">1 à </w:t>
      </w:r>
      <w:r w:rsidR="00E23B08" w:rsidRPr="00910900">
        <w:rPr>
          <w:rFonts w:ascii="Arial Narrow" w:hAnsi="Arial Narrow" w:cs="Arial"/>
        </w:rPr>
        <w:t>10 ans</w:t>
      </w:r>
    </w:p>
    <w:p w14:paraId="6690135E" w14:textId="17DA11CC" w:rsidR="00E23B08" w:rsidRPr="00910900" w:rsidRDefault="00E23B08" w:rsidP="00910900">
      <w:pPr>
        <w:pStyle w:val="Paragraphedeliste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>sans limitation de durée pour les bénéficiaires de l’ACTP 80 si la situation n’est pas susceptible d’évolution favorable.</w:t>
      </w:r>
    </w:p>
    <w:p w14:paraId="0AFB53B7" w14:textId="77777777" w:rsidR="00E23B08" w:rsidRDefault="00E23B08" w:rsidP="003C6EA1">
      <w:pPr>
        <w:jc w:val="both"/>
        <w:rPr>
          <w:rFonts w:ascii="Arial Narrow" w:hAnsi="Arial Narrow" w:cs="Arial"/>
        </w:rPr>
      </w:pPr>
    </w:p>
    <w:p w14:paraId="05505E4F" w14:textId="40B08D57" w:rsidR="00E23B08" w:rsidRDefault="00E23B08" w:rsidP="003C6EA1">
      <w:p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  <w:b/>
        </w:rPr>
        <w:t>PCH (prestation de compensation du handicap) </w:t>
      </w:r>
      <w:r>
        <w:rPr>
          <w:rFonts w:ascii="Arial Narrow" w:hAnsi="Arial Narrow" w:cs="Arial"/>
        </w:rPr>
        <w:t xml:space="preserve">: </w:t>
      </w:r>
    </w:p>
    <w:p w14:paraId="23E97895" w14:textId="502B194C" w:rsidR="00E23B08" w:rsidRPr="00910900" w:rsidRDefault="00E23B08" w:rsidP="00910900">
      <w:pPr>
        <w:pStyle w:val="Paragraphedeliste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>Aide humaine : de 1 à 10 ans</w:t>
      </w:r>
    </w:p>
    <w:p w14:paraId="1D0484CB" w14:textId="3307317B" w:rsidR="00E23B08" w:rsidRPr="00910900" w:rsidRDefault="00E23B08" w:rsidP="00910900">
      <w:pPr>
        <w:pStyle w:val="Paragraphedeliste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 xml:space="preserve">Aides techniques : de 1 à </w:t>
      </w:r>
      <w:r w:rsidR="00BC0CEF">
        <w:rPr>
          <w:rFonts w:ascii="Arial Narrow" w:hAnsi="Arial Narrow" w:cs="Arial"/>
        </w:rPr>
        <w:t>10</w:t>
      </w:r>
      <w:r w:rsidRPr="00910900">
        <w:rPr>
          <w:rFonts w:ascii="Arial Narrow" w:hAnsi="Arial Narrow" w:cs="Arial"/>
        </w:rPr>
        <w:t xml:space="preserve"> ans</w:t>
      </w:r>
    </w:p>
    <w:p w14:paraId="4CD5106B" w14:textId="4560806F" w:rsidR="00E23B08" w:rsidRPr="00910900" w:rsidRDefault="00E23B08" w:rsidP="00910900">
      <w:pPr>
        <w:pStyle w:val="Paragraphedeliste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>Aménagement du logement : de 1 à 10 ans</w:t>
      </w:r>
    </w:p>
    <w:p w14:paraId="3DE9975C" w14:textId="31D1D256" w:rsidR="00E23B08" w:rsidRPr="00910900" w:rsidRDefault="00910900" w:rsidP="00910900">
      <w:pPr>
        <w:pStyle w:val="Paragraphedeliste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 xml:space="preserve">Aménagement du véhicule, surcoûts liés aux transports : 1 à </w:t>
      </w:r>
      <w:r w:rsidR="00BC0CEF">
        <w:rPr>
          <w:rFonts w:ascii="Arial Narrow" w:hAnsi="Arial Narrow" w:cs="Arial"/>
        </w:rPr>
        <w:t xml:space="preserve">10 </w:t>
      </w:r>
      <w:r w:rsidRPr="00910900">
        <w:rPr>
          <w:rFonts w:ascii="Arial Narrow" w:hAnsi="Arial Narrow" w:cs="Arial"/>
        </w:rPr>
        <w:t>ans</w:t>
      </w:r>
    </w:p>
    <w:p w14:paraId="348110B0" w14:textId="5B1A4310" w:rsidR="00910900" w:rsidRPr="00910900" w:rsidRDefault="00910900" w:rsidP="00910900">
      <w:pPr>
        <w:pStyle w:val="Paragraphedeliste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>Charges spécifiques : 1 à 10 ans</w:t>
      </w:r>
    </w:p>
    <w:p w14:paraId="53C8D82E" w14:textId="6548F70E" w:rsidR="00910900" w:rsidRPr="00910900" w:rsidRDefault="00910900" w:rsidP="00910900">
      <w:pPr>
        <w:pStyle w:val="Paragraphedeliste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 xml:space="preserve">Charges exceptionnelles : 1 à </w:t>
      </w:r>
      <w:r w:rsidR="00BC0CEF">
        <w:rPr>
          <w:rFonts w:ascii="Arial Narrow" w:hAnsi="Arial Narrow" w:cs="Arial"/>
        </w:rPr>
        <w:t xml:space="preserve">10 </w:t>
      </w:r>
      <w:r w:rsidRPr="00910900">
        <w:rPr>
          <w:rFonts w:ascii="Arial Narrow" w:hAnsi="Arial Narrow" w:cs="Arial"/>
        </w:rPr>
        <w:t>ans</w:t>
      </w:r>
    </w:p>
    <w:p w14:paraId="3CA5F822" w14:textId="24F4C5B9" w:rsidR="00910900" w:rsidRDefault="00910900" w:rsidP="00910900">
      <w:pPr>
        <w:pStyle w:val="Paragraphedeliste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910900">
        <w:rPr>
          <w:rFonts w:ascii="Arial Narrow" w:hAnsi="Arial Narrow" w:cs="Arial"/>
        </w:rPr>
        <w:t xml:space="preserve">Aide animalière : 1 à </w:t>
      </w:r>
      <w:r w:rsidR="00BC0CEF">
        <w:rPr>
          <w:rFonts w:ascii="Arial Narrow" w:hAnsi="Arial Narrow" w:cs="Arial"/>
        </w:rPr>
        <w:t>10</w:t>
      </w:r>
      <w:r w:rsidRPr="00910900">
        <w:rPr>
          <w:rFonts w:ascii="Arial Narrow" w:hAnsi="Arial Narrow" w:cs="Arial"/>
        </w:rPr>
        <w:t xml:space="preserve"> ans</w:t>
      </w:r>
    </w:p>
    <w:p w14:paraId="3811CF88" w14:textId="2A4102EF" w:rsidR="0013098F" w:rsidRPr="0013098F" w:rsidRDefault="0013098F" w:rsidP="0013098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PCH sans limitation de durée lorsque le handicap n’est pas susceptible d’évoluer favorablement.</w:t>
      </w:r>
    </w:p>
    <w:p w14:paraId="059A1CE2" w14:textId="77777777" w:rsidR="00910900" w:rsidRDefault="00910900" w:rsidP="003C6EA1">
      <w:pPr>
        <w:jc w:val="both"/>
        <w:rPr>
          <w:rFonts w:ascii="Arial Narrow" w:hAnsi="Arial Narrow" w:cs="Arial"/>
        </w:rPr>
      </w:pPr>
    </w:p>
    <w:p w14:paraId="00A02D07" w14:textId="77777777" w:rsidR="00E23B08" w:rsidRPr="003C6EA1" w:rsidRDefault="00E23B08" w:rsidP="003C6EA1">
      <w:pPr>
        <w:jc w:val="both"/>
        <w:rPr>
          <w:rFonts w:ascii="Arial Narrow" w:hAnsi="Arial Narrow" w:cs="Arial"/>
        </w:rPr>
      </w:pPr>
    </w:p>
    <w:p w14:paraId="09D1BA19" w14:textId="77777777" w:rsidR="00472962" w:rsidRDefault="00472962" w:rsidP="00472962">
      <w:pPr>
        <w:jc w:val="both"/>
        <w:rPr>
          <w:rFonts w:ascii="Arial Narrow" w:hAnsi="Arial Narrow" w:cs="Arial"/>
        </w:rPr>
      </w:pPr>
    </w:p>
    <w:p w14:paraId="47A4F3F3" w14:textId="0F76D348" w:rsidR="00472962" w:rsidRPr="00D06D41" w:rsidRDefault="00D06D41" w:rsidP="00472962">
      <w:pPr>
        <w:jc w:val="both"/>
        <w:rPr>
          <w:rFonts w:ascii="Arial Narrow" w:hAnsi="Arial Narrow" w:cs="Arial"/>
          <w:i/>
          <w:iCs/>
        </w:rPr>
      </w:pPr>
      <w:r w:rsidRPr="00D06D41">
        <w:rPr>
          <w:rFonts w:ascii="Arial Narrow" w:hAnsi="Arial Narrow" w:cs="Arial"/>
          <w:i/>
          <w:iCs/>
        </w:rPr>
        <w:t xml:space="preserve">Note rédigée par Roselyne </w:t>
      </w:r>
      <w:proofErr w:type="spellStart"/>
      <w:r w:rsidRPr="00D06D41">
        <w:rPr>
          <w:rFonts w:ascii="Arial Narrow" w:hAnsi="Arial Narrow" w:cs="Arial"/>
          <w:i/>
          <w:iCs/>
        </w:rPr>
        <w:t>Touroude</w:t>
      </w:r>
      <w:proofErr w:type="spellEnd"/>
      <w:r w:rsidRPr="00D06D41">
        <w:rPr>
          <w:rFonts w:ascii="Arial Narrow" w:hAnsi="Arial Narrow" w:cs="Arial"/>
          <w:i/>
          <w:iCs/>
        </w:rPr>
        <w:t>.</w:t>
      </w:r>
    </w:p>
    <w:p w14:paraId="410E768C" w14:textId="193DF7AE" w:rsidR="00236CF3" w:rsidRPr="00236CF3" w:rsidRDefault="00236CF3" w:rsidP="00236CF3">
      <w:pPr>
        <w:jc w:val="both"/>
        <w:rPr>
          <w:rFonts w:ascii="Arial Narrow" w:hAnsi="Arial Narrow" w:cs="Arial"/>
          <w:b/>
        </w:rPr>
      </w:pPr>
      <w:r w:rsidRPr="00236CF3">
        <w:rPr>
          <w:rFonts w:ascii="Arial Narrow" w:hAnsi="Arial Narrow" w:cs="Arial"/>
          <w:b/>
        </w:rPr>
        <w:lastRenderedPageBreak/>
        <w:t xml:space="preserve"> </w:t>
      </w:r>
    </w:p>
    <w:p w14:paraId="62E6AC67" w14:textId="77777777" w:rsidR="00236CF3" w:rsidRPr="00236CF3" w:rsidRDefault="00236CF3" w:rsidP="00236CF3">
      <w:pPr>
        <w:jc w:val="both"/>
        <w:rPr>
          <w:rFonts w:ascii="Arial Narrow" w:hAnsi="Arial Narrow" w:cs="Arial"/>
        </w:rPr>
      </w:pPr>
    </w:p>
    <w:p w14:paraId="796965A4" w14:textId="77777777" w:rsidR="00236CF3" w:rsidRPr="00236CF3" w:rsidRDefault="00236CF3" w:rsidP="00236CF3">
      <w:pPr>
        <w:jc w:val="both"/>
        <w:rPr>
          <w:rFonts w:ascii="Arial Narrow" w:hAnsi="Arial Narrow" w:cs="Arial"/>
        </w:rPr>
      </w:pPr>
    </w:p>
    <w:sectPr w:rsidR="00236CF3" w:rsidRPr="00236CF3" w:rsidSect="00285BFD">
      <w:footerReference w:type="default" r:id="rId9"/>
      <w:pgSz w:w="11906" w:h="16838" w:code="9"/>
      <w:pgMar w:top="720" w:right="720" w:bottom="720" w:left="720" w:header="226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9DB6" w14:textId="77777777" w:rsidR="00D5550E" w:rsidRDefault="00D5550E">
      <w:r>
        <w:separator/>
      </w:r>
    </w:p>
  </w:endnote>
  <w:endnote w:type="continuationSeparator" w:id="0">
    <w:p w14:paraId="3665639D" w14:textId="77777777" w:rsidR="00D5550E" w:rsidRDefault="00D5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778" w14:textId="77777777" w:rsidR="003C6EA1" w:rsidRPr="002E21C0" w:rsidRDefault="003C6EA1" w:rsidP="00285BFD">
    <w:pPr>
      <w:pStyle w:val="Piedd"/>
      <w:jc w:val="center"/>
      <w:rPr>
        <w:rFonts w:ascii="Calibri" w:hAnsi="Calibri" w:cs="Calibri"/>
        <w:b/>
        <w:color w:val="006FB9"/>
        <w:sz w:val="16"/>
      </w:rPr>
    </w:pPr>
  </w:p>
  <w:p w14:paraId="67EF9E1A" w14:textId="77777777" w:rsidR="003C6EA1" w:rsidRPr="002E21C0" w:rsidRDefault="003C6EA1" w:rsidP="00285BFD">
    <w:pPr>
      <w:tabs>
        <w:tab w:val="center" w:pos="4536"/>
        <w:tab w:val="right" w:pos="9072"/>
      </w:tabs>
      <w:jc w:val="center"/>
      <w:rPr>
        <w:rFonts w:ascii="Arial Narrow" w:hAnsi="Arial Narrow" w:cs="Arial"/>
        <w:color w:val="006FB9"/>
        <w:sz w:val="16"/>
      </w:rPr>
    </w:pPr>
    <w:r w:rsidRPr="002E21C0">
      <w:rPr>
        <w:rFonts w:ascii="Arial Narrow" w:hAnsi="Arial Narrow" w:cs="Arial"/>
        <w:b/>
        <w:color w:val="006FB9"/>
        <w:sz w:val="16"/>
      </w:rPr>
      <w:t>UNAFAM - Union nationale de familles et amis de personnes malades et /ou handicapées psychiques – RECONNUE D'UTILITE PUBLIQUE</w:t>
    </w:r>
  </w:p>
  <w:p w14:paraId="6E9140DB" w14:textId="77777777" w:rsidR="003C6EA1" w:rsidRPr="002E21C0" w:rsidRDefault="003C6EA1" w:rsidP="00285BFD">
    <w:pPr>
      <w:pBdr>
        <w:bottom w:val="single" w:sz="6" w:space="1" w:color="3366FF"/>
      </w:pBdr>
      <w:tabs>
        <w:tab w:val="center" w:pos="4536"/>
        <w:tab w:val="right" w:pos="9072"/>
      </w:tabs>
      <w:jc w:val="center"/>
      <w:rPr>
        <w:rFonts w:ascii="Arial Narrow" w:hAnsi="Arial Narrow" w:cs="Arial"/>
        <w:color w:val="006FB9"/>
        <w:sz w:val="8"/>
      </w:rPr>
    </w:pPr>
  </w:p>
  <w:p w14:paraId="55720399" w14:textId="77777777" w:rsidR="003C6EA1" w:rsidRPr="002E21C0" w:rsidRDefault="003C6EA1" w:rsidP="00285BFD">
    <w:pPr>
      <w:tabs>
        <w:tab w:val="center" w:pos="4536"/>
        <w:tab w:val="right" w:pos="9072"/>
      </w:tabs>
      <w:jc w:val="center"/>
      <w:rPr>
        <w:rFonts w:ascii="Arial Narrow" w:hAnsi="Arial Narrow" w:cs="Arial"/>
        <w:color w:val="006FB9"/>
        <w:sz w:val="8"/>
      </w:rPr>
    </w:pPr>
  </w:p>
  <w:p w14:paraId="1200F01B" w14:textId="77777777" w:rsidR="003C6EA1" w:rsidRPr="002E21C0" w:rsidRDefault="003C6EA1" w:rsidP="00285BFD">
    <w:pPr>
      <w:tabs>
        <w:tab w:val="center" w:pos="4536"/>
        <w:tab w:val="right" w:pos="9072"/>
      </w:tabs>
      <w:jc w:val="center"/>
      <w:rPr>
        <w:rFonts w:ascii="Arial Narrow" w:hAnsi="Arial Narrow" w:cs="Arial"/>
        <w:color w:val="006FB9"/>
        <w:sz w:val="16"/>
      </w:rPr>
    </w:pPr>
    <w:r w:rsidRPr="002E21C0">
      <w:rPr>
        <w:rFonts w:ascii="Arial Narrow" w:hAnsi="Arial Narrow" w:cs="Arial"/>
        <w:color w:val="006FB9"/>
        <w:sz w:val="16"/>
      </w:rPr>
      <w:t>SIEGE NATIONAL : 12, villa Compoint • 75017 PARIS</w:t>
    </w:r>
  </w:p>
  <w:p w14:paraId="49080863" w14:textId="77777777" w:rsidR="003C6EA1" w:rsidRPr="002E21C0" w:rsidRDefault="003C6EA1" w:rsidP="00285BFD">
    <w:pPr>
      <w:tabs>
        <w:tab w:val="center" w:pos="4536"/>
        <w:tab w:val="right" w:pos="9072"/>
      </w:tabs>
      <w:jc w:val="center"/>
      <w:rPr>
        <w:rFonts w:ascii="Arial Narrow" w:hAnsi="Arial Narrow" w:cs="Arial"/>
        <w:color w:val="006FB9"/>
        <w:sz w:val="16"/>
      </w:rPr>
    </w:pPr>
    <w:r w:rsidRPr="00761583">
      <w:rPr>
        <w:rFonts w:ascii="Arial Narrow" w:hAnsi="Arial Narrow" w:cs="Arial"/>
        <w:color w:val="006FB9"/>
        <w:sz w:val="16"/>
      </w:rPr>
      <w:t>Ecoute-famille :</w:t>
    </w:r>
    <w:r w:rsidRPr="002E21C0">
      <w:rPr>
        <w:rFonts w:ascii="Arial Narrow" w:hAnsi="Arial Narrow" w:cs="Arial"/>
        <w:color w:val="006FB9"/>
        <w:sz w:val="16"/>
      </w:rPr>
      <w:t xml:space="preserve"> 01 42 63 03 03 • Service</w:t>
    </w:r>
    <w:r>
      <w:rPr>
        <w:rFonts w:ascii="Arial Narrow" w:hAnsi="Arial Narrow" w:cs="Arial"/>
        <w:color w:val="006FB9"/>
        <w:sz w:val="16"/>
      </w:rPr>
      <w:t xml:space="preserve"> Administratif : 01 53 06 30 43</w:t>
    </w:r>
  </w:p>
  <w:p w14:paraId="543689DE" w14:textId="77777777" w:rsidR="003C6EA1" w:rsidRPr="002E21C0" w:rsidRDefault="00000000" w:rsidP="00285BFD">
    <w:pPr>
      <w:tabs>
        <w:tab w:val="center" w:pos="4536"/>
        <w:tab w:val="right" w:pos="9072"/>
      </w:tabs>
      <w:jc w:val="center"/>
      <w:rPr>
        <w:rFonts w:ascii="Arial Narrow" w:hAnsi="Arial Narrow" w:cs="Arial"/>
        <w:color w:val="006FB9"/>
        <w:sz w:val="16"/>
      </w:rPr>
    </w:pPr>
    <w:hyperlink r:id="rId1" w:history="1">
      <w:r w:rsidR="003C6EA1" w:rsidRPr="002E21C0">
        <w:rPr>
          <w:rFonts w:ascii="Arial Narrow" w:hAnsi="Arial Narrow" w:cs="Arial"/>
          <w:color w:val="006FB9"/>
          <w:sz w:val="16"/>
          <w:u w:val="single"/>
        </w:rPr>
        <w:t>www.unafam.org</w:t>
      </w:r>
    </w:hyperlink>
  </w:p>
  <w:p w14:paraId="4B53E390" w14:textId="77777777" w:rsidR="003C6EA1" w:rsidRPr="002E21C0" w:rsidRDefault="003C6EA1" w:rsidP="00285BFD">
    <w:pPr>
      <w:tabs>
        <w:tab w:val="center" w:pos="4536"/>
        <w:tab w:val="right" w:pos="9072"/>
      </w:tabs>
      <w:jc w:val="center"/>
      <w:rPr>
        <w:rFonts w:ascii="Arial Narrow" w:hAnsi="Arial Narrow" w:cs="Arial"/>
        <w:color w:val="006FB9"/>
        <w:sz w:val="16"/>
      </w:rPr>
    </w:pPr>
    <w:r w:rsidRPr="002E21C0">
      <w:rPr>
        <w:rFonts w:ascii="Arial Narrow" w:hAnsi="Arial Narrow" w:cs="Arial"/>
        <w:color w:val="006FB9"/>
        <w:sz w:val="16"/>
      </w:rPr>
      <w:t>N° SIRET : 784 363 483 00040 • APE 8899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5C8A" w14:textId="77777777" w:rsidR="00D5550E" w:rsidRDefault="00D5550E">
      <w:r>
        <w:separator/>
      </w:r>
    </w:p>
  </w:footnote>
  <w:footnote w:type="continuationSeparator" w:id="0">
    <w:p w14:paraId="7BACD3DC" w14:textId="77777777" w:rsidR="00D5550E" w:rsidRDefault="00D5550E">
      <w:r>
        <w:continuationSeparator/>
      </w:r>
    </w:p>
  </w:footnote>
  <w:footnote w:id="1">
    <w:p w14:paraId="62DC0496" w14:textId="745967FA" w:rsidR="003C6EA1" w:rsidRDefault="003C6EA1">
      <w:pPr>
        <w:pStyle w:val="Notedebasdepage"/>
      </w:pPr>
      <w:r>
        <w:rPr>
          <w:rStyle w:val="Appelnotedebasdep"/>
        </w:rPr>
        <w:footnoteRef/>
      </w:r>
      <w:r>
        <w:t xml:space="preserve"> Voir fiche technique de la CNSA du 2 avril 2021 ; l’attribution et la prorogation de droits sans limitation de durée aux adultes en situation de handicap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B7"/>
    <w:multiLevelType w:val="hybridMultilevel"/>
    <w:tmpl w:val="189C9076"/>
    <w:lvl w:ilvl="0" w:tplc="80AE26A0">
      <w:start w:val="15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79FF"/>
    <w:multiLevelType w:val="hybridMultilevel"/>
    <w:tmpl w:val="80BE6A4C"/>
    <w:lvl w:ilvl="0" w:tplc="4888F0FC">
      <w:start w:val="15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2E48"/>
    <w:multiLevelType w:val="hybridMultilevel"/>
    <w:tmpl w:val="6BCC05BE"/>
    <w:lvl w:ilvl="0" w:tplc="4888F0FC">
      <w:start w:val="15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628A"/>
    <w:multiLevelType w:val="hybridMultilevel"/>
    <w:tmpl w:val="C64017E6"/>
    <w:lvl w:ilvl="0" w:tplc="4888F0FC">
      <w:start w:val="15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802D6"/>
    <w:multiLevelType w:val="hybridMultilevel"/>
    <w:tmpl w:val="DE062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06F16"/>
    <w:multiLevelType w:val="hybridMultilevel"/>
    <w:tmpl w:val="4258B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0DA6"/>
    <w:multiLevelType w:val="hybridMultilevel"/>
    <w:tmpl w:val="8E04D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09B5"/>
    <w:multiLevelType w:val="hybridMultilevel"/>
    <w:tmpl w:val="847E6926"/>
    <w:lvl w:ilvl="0" w:tplc="4888F0FC">
      <w:start w:val="15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48A1"/>
    <w:multiLevelType w:val="hybridMultilevel"/>
    <w:tmpl w:val="3998EA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F20EA"/>
    <w:multiLevelType w:val="hybridMultilevel"/>
    <w:tmpl w:val="146842E8"/>
    <w:lvl w:ilvl="0" w:tplc="F9A836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7A85"/>
    <w:multiLevelType w:val="hybridMultilevel"/>
    <w:tmpl w:val="FCD085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E72C0"/>
    <w:multiLevelType w:val="hybridMultilevel"/>
    <w:tmpl w:val="A8AEC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6A9F"/>
    <w:multiLevelType w:val="hybridMultilevel"/>
    <w:tmpl w:val="AAB0BF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50363"/>
    <w:multiLevelType w:val="hybridMultilevel"/>
    <w:tmpl w:val="7034EF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911CF"/>
    <w:multiLevelType w:val="hybridMultilevel"/>
    <w:tmpl w:val="BF2C9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F4FEE"/>
    <w:multiLevelType w:val="hybridMultilevel"/>
    <w:tmpl w:val="3FDA1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EC9"/>
    <w:multiLevelType w:val="hybridMultilevel"/>
    <w:tmpl w:val="5FA6C29C"/>
    <w:lvl w:ilvl="0" w:tplc="4888F0FC">
      <w:start w:val="15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473"/>
    <w:multiLevelType w:val="hybridMultilevel"/>
    <w:tmpl w:val="054ED608"/>
    <w:lvl w:ilvl="0" w:tplc="4888F0FC">
      <w:start w:val="15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212D9"/>
    <w:multiLevelType w:val="hybridMultilevel"/>
    <w:tmpl w:val="94645EA2"/>
    <w:lvl w:ilvl="0" w:tplc="4888F0FC">
      <w:start w:val="15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676CA"/>
    <w:multiLevelType w:val="hybridMultilevel"/>
    <w:tmpl w:val="50EE43A4"/>
    <w:lvl w:ilvl="0" w:tplc="4888F0FC">
      <w:start w:val="15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49390">
    <w:abstractNumId w:val="9"/>
  </w:num>
  <w:num w:numId="2" w16cid:durableId="1507555053">
    <w:abstractNumId w:val="13"/>
  </w:num>
  <w:num w:numId="3" w16cid:durableId="829491762">
    <w:abstractNumId w:val="8"/>
  </w:num>
  <w:num w:numId="4" w16cid:durableId="1183200201">
    <w:abstractNumId w:val="5"/>
  </w:num>
  <w:num w:numId="5" w16cid:durableId="532768876">
    <w:abstractNumId w:val="11"/>
  </w:num>
  <w:num w:numId="6" w16cid:durableId="481233514">
    <w:abstractNumId w:val="14"/>
  </w:num>
  <w:num w:numId="7" w16cid:durableId="222986183">
    <w:abstractNumId w:val="6"/>
  </w:num>
  <w:num w:numId="8" w16cid:durableId="1054500691">
    <w:abstractNumId w:val="4"/>
  </w:num>
  <w:num w:numId="9" w16cid:durableId="1812165699">
    <w:abstractNumId w:val="10"/>
  </w:num>
  <w:num w:numId="10" w16cid:durableId="354120325">
    <w:abstractNumId w:val="15"/>
  </w:num>
  <w:num w:numId="11" w16cid:durableId="580912369">
    <w:abstractNumId w:val="0"/>
  </w:num>
  <w:num w:numId="12" w16cid:durableId="1740984278">
    <w:abstractNumId w:val="7"/>
  </w:num>
  <w:num w:numId="13" w16cid:durableId="530457675">
    <w:abstractNumId w:val="12"/>
  </w:num>
  <w:num w:numId="14" w16cid:durableId="561017432">
    <w:abstractNumId w:val="18"/>
  </w:num>
  <w:num w:numId="15" w16cid:durableId="1065882735">
    <w:abstractNumId w:val="17"/>
  </w:num>
  <w:num w:numId="16" w16cid:durableId="705180477">
    <w:abstractNumId w:val="19"/>
  </w:num>
  <w:num w:numId="17" w16cid:durableId="312413439">
    <w:abstractNumId w:val="2"/>
  </w:num>
  <w:num w:numId="18" w16cid:durableId="238949276">
    <w:abstractNumId w:val="1"/>
  </w:num>
  <w:num w:numId="19" w16cid:durableId="784693221">
    <w:abstractNumId w:val="16"/>
  </w:num>
  <w:num w:numId="20" w16cid:durableId="1124422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551"/>
    <w:rsid w:val="00003551"/>
    <w:rsid w:val="00027DB7"/>
    <w:rsid w:val="00057BCC"/>
    <w:rsid w:val="00064E99"/>
    <w:rsid w:val="00084226"/>
    <w:rsid w:val="00087FE6"/>
    <w:rsid w:val="000A6917"/>
    <w:rsid w:val="000C1DB3"/>
    <w:rsid w:val="000C470F"/>
    <w:rsid w:val="000E13F7"/>
    <w:rsid w:val="000F0AFA"/>
    <w:rsid w:val="00120A3F"/>
    <w:rsid w:val="0013098F"/>
    <w:rsid w:val="00136CF5"/>
    <w:rsid w:val="00145189"/>
    <w:rsid w:val="001656D7"/>
    <w:rsid w:val="001C02E1"/>
    <w:rsid w:val="00205769"/>
    <w:rsid w:val="00236CF3"/>
    <w:rsid w:val="002470A8"/>
    <w:rsid w:val="00285BFD"/>
    <w:rsid w:val="00290FA6"/>
    <w:rsid w:val="002B24CD"/>
    <w:rsid w:val="00306969"/>
    <w:rsid w:val="003C43D5"/>
    <w:rsid w:val="003C6EA1"/>
    <w:rsid w:val="004176CC"/>
    <w:rsid w:val="004300ED"/>
    <w:rsid w:val="00472962"/>
    <w:rsid w:val="00474BF4"/>
    <w:rsid w:val="0048035A"/>
    <w:rsid w:val="0048700E"/>
    <w:rsid w:val="004C65C5"/>
    <w:rsid w:val="00523508"/>
    <w:rsid w:val="005563C2"/>
    <w:rsid w:val="0056101E"/>
    <w:rsid w:val="00582B6B"/>
    <w:rsid w:val="006149D4"/>
    <w:rsid w:val="006373DF"/>
    <w:rsid w:val="00645367"/>
    <w:rsid w:val="00762413"/>
    <w:rsid w:val="00774B6A"/>
    <w:rsid w:val="007C56DA"/>
    <w:rsid w:val="007E2BE0"/>
    <w:rsid w:val="007E3429"/>
    <w:rsid w:val="007E3BA6"/>
    <w:rsid w:val="00867094"/>
    <w:rsid w:val="00877501"/>
    <w:rsid w:val="008849C8"/>
    <w:rsid w:val="008A2BFC"/>
    <w:rsid w:val="00910900"/>
    <w:rsid w:val="00917209"/>
    <w:rsid w:val="009D03FD"/>
    <w:rsid w:val="009D43C3"/>
    <w:rsid w:val="00A30F09"/>
    <w:rsid w:val="00A62B0B"/>
    <w:rsid w:val="00AC0771"/>
    <w:rsid w:val="00AE26E4"/>
    <w:rsid w:val="00AF65FD"/>
    <w:rsid w:val="00B04D09"/>
    <w:rsid w:val="00B45AF2"/>
    <w:rsid w:val="00BA67C2"/>
    <w:rsid w:val="00BC0CEF"/>
    <w:rsid w:val="00BD1EF3"/>
    <w:rsid w:val="00C476C2"/>
    <w:rsid w:val="00CE7C88"/>
    <w:rsid w:val="00D005AC"/>
    <w:rsid w:val="00D06D41"/>
    <w:rsid w:val="00D07264"/>
    <w:rsid w:val="00D2360D"/>
    <w:rsid w:val="00D5550E"/>
    <w:rsid w:val="00D56F91"/>
    <w:rsid w:val="00D66F19"/>
    <w:rsid w:val="00DC6835"/>
    <w:rsid w:val="00DE3589"/>
    <w:rsid w:val="00E23B08"/>
    <w:rsid w:val="00E263ED"/>
    <w:rsid w:val="00E269C5"/>
    <w:rsid w:val="00E35E32"/>
    <w:rsid w:val="00E40B99"/>
    <w:rsid w:val="00E57A77"/>
    <w:rsid w:val="00F544C8"/>
    <w:rsid w:val="00F97242"/>
    <w:rsid w:val="00FB6EA3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EE9DC"/>
  <w15:docId w15:val="{3F9D3B98-AF09-6D4D-B484-645436AC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03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">
    <w:name w:val="Pied d"/>
    <w:basedOn w:val="Normal"/>
    <w:rsid w:val="00FB6EA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rsid w:val="00FB6E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6EA3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F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F09"/>
    <w:rPr>
      <w:rFonts w:ascii="Segoe UI" w:eastAsia="Times New Roman" w:hAnsi="Segoe UI" w:cs="Segoe UI"/>
      <w:sz w:val="18"/>
      <w:szCs w:val="18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82B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2B6B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474BF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4BF4"/>
    <w:rPr>
      <w:rFonts w:ascii="Times New Roman" w:eastAsia="Times New Roman" w:hAnsi="Times New Roman" w:cs="Times New Roman"/>
      <w:sz w:val="20"/>
      <w:szCs w:val="20"/>
      <w:lang w:eastAsia="fr-FR" w:bidi="fr-FR"/>
    </w:rPr>
  </w:style>
  <w:style w:type="character" w:styleId="Appelnotedebasdep">
    <w:name w:val="footnote reference"/>
    <w:basedOn w:val="Policepardfaut"/>
    <w:uiPriority w:val="99"/>
    <w:unhideWhenUsed/>
    <w:rsid w:val="00474BF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476C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035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290FA6"/>
    <w:pPr>
      <w:spacing w:before="100" w:beforeAutospacing="1" w:after="100" w:afterAutospacing="1"/>
    </w:pPr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afa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B8AF-C0F8-7843-B156-681E9D9B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Microsoft Office User</cp:lastModifiedBy>
  <cp:revision>13</cp:revision>
  <cp:lastPrinted>2021-03-04T14:38:00Z</cp:lastPrinted>
  <dcterms:created xsi:type="dcterms:W3CDTF">2021-03-02T16:11:00Z</dcterms:created>
  <dcterms:modified xsi:type="dcterms:W3CDTF">2024-10-21T09:48:00Z</dcterms:modified>
  <cp:contentStatus/>
</cp:coreProperties>
</file>